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Types>
</file>

<file path=_rels/.rels><?xml version="1.0" encoding="UTF-8"?><Relationships xmlns="http://schemas.openxmlformats.org/package/2006/relationships"><Relationship Id="document" Type="http://schemas.openxmlformats.org/officeDocument/2006/relationships/officeDocument" Target="word/document.xml"/></Relationships>
</file>

<file path=word/document.xml><?xml version="1.0" encoding="utf-8"?>
<w:document xmlns:r="http://schemas.openxmlformats.org/officeDocument/2006/relationships" xmlns:w="http://schemas.openxmlformats.org/wordprocessingml/2006/main">
  <w:body>
    <w:p>
      <w:pPr>
        <w:pStyle w:val="Title"/>
      </w:pPr>
      <w:r>
        <w:rPr/>
        <w:t xml:space="preserve">Кто собирает возможность</w:t>
      </w:r>
    </w:p>
    <w:p>
      <w:pPr>
        <w:pStyle w:val="Subtitle"/>
      </w:pPr>
      <w:r>
        <w:rPr/>
        <w:t xml:space="preserve">Право на решение · версия 10.1</w:t>
      </w:r>
    </w:p>
    <w:p>
      <w:pPr>
        <w:pStyle w:val="Normal"/>
      </w:pPr>
      <w:r>
        <w:rPr/>
        <w:t xml:space="preserve">Покупателю нового материала нужен не сам материал. Ему нужна деталь, которую можно установить, использовать и заменить на понятных условиях. Исследование уже нашло более удачный вариант. Испытательная площадка умеет его проверить. Между этими успехами и заказом на производство остаётся расстояние, за преодоление которого никто пока не заплатил.</w:t>
      </w:r>
    </w:p>
    <w:p>
      <w:pPr>
        <w:pStyle w:val="Normal"/>
      </w:pPr>
      <w:r>
        <w:rPr/>
        <w:t xml:space="preserve">Разработчик предлагает техническое преимущество. Покупатель сравнивает полную замену своего прежнего способа работы. Новый поставщик ещё не доказал, что выдержит срок, сохранит качество серии и обеспечит обслуживание. Даже хороший опытный образец оставляет эти вопросы открытыми. Старая деталь обходится дороже в эксплуатации, но для неё уже существуют склад, ремонт и люди, умеющие организовать поставку.</w:t>
      </w:r>
    </w:p>
    <w:p>
      <w:pPr>
        <w:pStyle w:val="Normal"/>
      </w:pPr>
      <w:r>
        <w:rPr/>
        <w:t xml:space="preserve">Поэтому продукт приходится собрать заново — уже как предложение покупателю. В него входят изготовление первой партии, согласованная проверка, запас для замены и обслуживание в течение оговорённого срока. Покупатель оплачивает то, чем способен воспользоваться. Часть риска с его стороны принимает новое предприятие, и за это в цене появляется собственная выручка предприятия.</w:t>
      </w:r>
    </w:p>
    <w:p>
      <w:pPr>
        <w:pStyle w:val="Normal"/>
      </w:pPr>
      <w:r>
        <w:rPr/>
        <w:t xml:space="preserve">Такой переход требует денег раньше, чем возникает первая большая продажа. Нужно занять установку, купить материал, оплатить изготовление и держать резерв на исправление неудачной партии. Заказчик может внести аванс, но ему незачем одному финансировать всю уверенность нового поставщика в собственном будущем. Остальную часть вкладывает инвестор, которому достанется доля в доходе и право участвовать в решениях компании.</w:t>
      </w:r>
    </w:p>
    <w:p>
      <w:pPr>
        <w:pStyle w:val="Normal"/>
      </w:pPr>
      <w:r>
        <w:rPr/>
        <w:t xml:space="preserve">Испытательная площадка входит в сделку со своим предметом. Она отвечает за измерение по согласованной процедуре. Покупатель заранее принимает, что именно такой результат открывает путь к поставке. Производитель обязуется изготовить партию на тех условиях, при которых измерение имеет смысл. Совместить обещания приходится до того, как каждый начнёт нести основные расходы.</w:t>
      </w:r>
    </w:p>
    <w:p>
      <w:pPr>
        <w:pStyle w:val="Normal"/>
      </w:pPr>
      <w:r>
        <w:rPr/>
        <w:t xml:space="preserve">У этой сборки есть автор. Кто-то нашёл способ изменить продукт, согласовал первую оплату, привлёк капитал и добился того, чтобы результат одного участника принимал следующий. Его работа становится видна в тот момент, когда оборудование, знания и покупатель наконец могут действовать вместе. Прежде всё это тоже существовало, но не образовывало оплаченного предприятия.</w:t>
      </w:r>
    </w:p>
    <w:p>
      <w:pPr>
        <w:pStyle w:val="Normal"/>
      </w:pPr>
      <w:r>
        <w:rPr/>
        <w:t xml:space="preserve">Машинная помощь удешевляет значительную часть такой работы. Можно быстрее сравнить поставщиков, подготовить варианты финансирования, найти покупателя с подходящей задачей, оценить последствия задержки. Предприниматель получает гораздо более сильный аппарат для сборки сделки. Но обещания по-прежнему приобретают цену там, где участники готовы передать собственный ресурс и принять определённую потерю при неудаче.</w:t>
      </w:r>
    </w:p>
    <w:p>
      <w:pPr>
        <w:pStyle w:val="Normal"/>
      </w:pPr>
      <w:r>
        <w:rPr/>
        <w:t xml:space="preserve">Новая компания не обязана владеть каждым станком. Она может покупать часть операций у других предприятий. Это позволяет начать раньше и потратить меньше денег на оборудование, которое нужно лишь изредка. Собственный участок имеет смысл сохранить там, где без него нельзя выполнить главное обещание покупателю или где зависимость от единственного исполнителя становится слишком дорогой.</w:t>
      </w:r>
    </w:p>
    <w:p>
      <w:pPr>
        <w:pStyle w:val="Normal"/>
      </w:pPr>
      <w:r>
        <w:rPr/>
        <w:t xml:space="preserve">Пакет таких решений способен сохранить даже организацию, от которой отказался прежний владелец. Эдриан Ньюи описывает появление команды Brawn после ухода Honda из Формулы-1. По его рассказу, Росс Браун договорился об оплате следующего года со стороны Honda, что позволило сохранить персонал. Через Мартина Уитмарша и McLaren удалось договориться о двигателях Mercedes. Техническая работа получила новое хозяйственное продолжение благодаря сочетанию финансирования, сохранившейся команды и другого поставщика важнейшего узла.</w:t>
      </w:r>
      <w:hyperlink w:anchor="Note1" w:history="1">
        <w:r>
          <w:rPr>
            <w:rStyle w:val="Hyperlink"/>
          </w:rPr>
          <w:t xml:space="preserve">[1]</w:t>
        </w:r>
      </w:hyperlink>
    </w:p>
    <w:p>
      <w:pPr>
        <w:pStyle w:val="Normal"/>
      </w:pPr>
      <w:r>
        <w:rPr/>
        <w:t xml:space="preserve">Ньюи наблюдал эту сборку из конкурирующей команды. Именно поэтому в его изложении особенно заметна цена отношений: поставку двигателей получила одна организация, а другой в ней отказали. Двигатель существовал, деньги в отрасли были, хорошие инженеры тоже. Доступное продолжение складывалось из конкретных соглашений.</w:t>
      </w:r>
    </w:p>
    <w:p>
      <w:pPr>
        <w:pStyle w:val="Normal"/>
      </w:pPr>
      <w:r>
        <w:rPr/>
        <w:t xml:space="preserve">В нашем производственном примере первая партия проходит согласованную проверку и поступает к заказчику. Новая деталь действительно работает дольше. Поставщик исполняет условия обслуживания. Для следующего покупателя теперь существуют не только расчёт и образец, но и проверяемая история исполнения. Привлечь новый заказ становится легче.</w:t>
      </w:r>
    </w:p>
    <w:p>
      <w:pPr>
        <w:pStyle w:val="Normal"/>
      </w:pPr>
      <w:r>
        <w:rPr/>
        <w:t xml:space="preserve">Это не отменяет конкурента. Прежний поставщик тоже пользуется сильным интеллектом. Он может улучшить свою деталь, пересмотреть цену, добавить удобную услугу или предложить замену быстрее нового предприятия. У него есть оборудование и отношения, за которые уже заплачено. Некоторым покупателям окажется выгоднее остаться с ним. Создание новой фирмы меняет их выбор даже тогда, когда заказ в итоге получает старая.</w:t>
      </w:r>
    </w:p>
    <w:p>
      <w:pPr>
        <w:pStyle w:val="Normal"/>
      </w:pPr>
      <w:r>
        <w:rPr/>
        <w:t xml:space="preserve">Поэтому главная ценность предпринимательского хода может состоять в изменении самого сравнения. Пока продавали новый материал, покупатель видел дополнительную техническую неопределённость. Когда предложили принятую партию с обслуживанием, он смог сравнить два способа выполнять свою работу. Тот, кто собрал это предложение, создал предмет сделки, которого прежде не было.</w:t>
      </w:r>
    </w:p>
    <w:p>
      <w:pPr>
        <w:pStyle w:val="Normal"/>
      </w:pPr>
      <w:r>
        <w:rPr/>
        <w:t xml:space="preserve">Внутри компании работа тоже изменилась. Инженер отвечает за свойства изделия, но следующую конструкцию теперь приходится сопоставлять с тем, что уже обещано покупателям. Управляющий может остановить дорогую перестройку серии, не вступая в спор о том, какой материал прочнее. Инвестор получает основание спросить, увеличит ли новое оборудование доступный выпуск. Техническое решение стало частью предприятия, которое должно воспроизводить собственную способность исполнять заказ.</w:t>
      </w:r>
    </w:p>
    <w:p>
      <w:pPr>
        <w:pStyle w:val="Normal"/>
      </w:pPr>
      <w:r>
        <w:rPr/>
        <w:t xml:space="preserve">Участники могут договориться об этих полномочиях по-разному. Основатель способен сохранить контроль, привлекая меньше чужого капитала. Команда может владеть компанией совместно. Крупный покупатель может оплатить расширение в обмен на приоритет поставок. Некоторые сочетания окажутся слишком дорогими, другие позволят вырасти быстрее. Успех зависит от того, что именно стороны внесли и чего хотели получить взамен.</w:t>
      </w:r>
    </w:p>
    <w:p>
      <w:pPr>
        <w:pStyle w:val="Normal"/>
      </w:pPr>
      <w:r>
        <w:rPr/>
        <w:t xml:space="preserve">В выбранной нами цепочке фирма состоялась. Она оплачивает работу, выпускает принятую продукцию, обслуживает её и получает следующие заказы. После необходимых расходов остаются деньги на развитие и выплаты владельцам. Возникает предприятие, которое уже способно изменить возможности других участников: дать покупателю замену, предложить лаборатории длинную загрузку, привлечь нового поставщика.</w:t>
      </w:r>
    </w:p>
    <w:p>
      <w:pPr>
        <w:pStyle w:val="Normal"/>
      </w:pPr>
      <w:r>
        <w:rPr/>
        <w:t xml:space="preserve">Его создание можно описать как удачное изобретение, хорошую инвестицию или сильное управление. Каждое описание схватывает действительный вклад. Ни одно по отдельности не объясняет, кто теперь вправе определять следующую работу всего комплекса.</w:t>
      </w:r>
    </w:p>
    <w:p>
      <w:pPr>
        <w:pStyle w:val="Normal"/>
      </w:pPr>
      <w:r>
        <w:rPr/>
        <w:t xml:space="preserve">Для ответа придётся открыть договоры, благодаря которым этот комплекс вообще появился.</w:t>
      </w:r>
    </w:p>
    <w:p>
      <w:pPr>
        <w:pStyle w:val="Heading1"/>
      </w:pPr>
      <w:r>
        <w:rPr/>
        <w:t xml:space="preserve">Примечания</w:t>
      </w:r>
    </w:p>
    <w:p>
      <w:pPr>
        <w:pStyle w:val="Note"/>
      </w:pPr>
      <w:bookmarkStart w:id="1" w:name="Note1"/>
      <w:r>
        <w:rPr/>
        <w:t xml:space="preserve">1. </w:t>
      </w:r>
      <w:r>
        <w:rPr/>
        <w:t xml:space="preserve">Эдриан Ньюи. </w:t>
      </w:r>
      <w:r>
        <w:rPr>
          <w:i/>
        </w:rPr>
        <w:t xml:space="preserve">Как построить машину</w:t>
      </w:r>
      <w:r>
        <w:rPr/>
        <w:t xml:space="preserve">, русское издание 2019 года, глава 66: изложение перехода от Honda к Brawn и переговоров о поставке двигателей. Свидетельство участника конкурирующей команды; детали финансирования приведены по его мемуарам.</w:t>
      </w:r>
      <w:bookmarkEnd w:id="1"/>
    </w:p>
    <w:sectPr>
      <w:footerReference w:type="default" r:id="footer"/>
      <w:pgSz w:w="11906" w:h="16838"/>
      <w:pgMar w:top="1276" w:right="1361" w:bottom="1276" w:left="1361" w:header="567" w:footer="567" w:gutter="0"/>
    </w:sectPr>
  </w:body>
</w:document>
</file>

<file path=word/footer1.xml><?xml version="1.0" encoding="utf-8"?>
<w:ftr xmlns:w="http://schemas.openxmlformats.org/wordprocessingml/2006/main">
  <w:p>
    <w:pPr>
      <w:jc w:val="center"/>
    </w:pPr>
    <w:fldSimple w:instr="PAGE">
      <w:r>
        <w:t>1</w:t>
      </w:r>
    </w:fldSimple>
  </w:p>
</w:ftr>
</file>

<file path=word/styles.xml><?xml version="1.0" encoding="utf-8"?>
<w:styles xmlns:w="http://schemas.openxmlformats.org/wordprocessingml/2006/main">
  <w:docDefaults>
    <w:rPrDefault>
      <w:rPr>
        <w:rFonts w:ascii="Georgia" w:hAnsi="Georgia" w:cs="Georgia"/>
        <w:sz w:val="24"/>
        <w:lang w:val="ru-RU"/>
      </w:rPr>
    </w:rPrDefault>
  </w:docDefaults>
  <w:style w:type="paragraph" w:styleId="Normal" w:default="1">
    <w:name w:val="Normal"/>
    <w:pPr>
      <w:spacing w:before="0" w:after="120" w:line="312" w:lineRule="auto"/>
      <w:widowControl/>
    </w:pPr>
    <w:rPr>
      <w:sz w:val="24"/>
    </w:rPr>
  </w:style>
  <w:style w:type="paragraph" w:styleId="Title">
    <w:name w:val="Title"/>
    <w:pPr>
      <w:spacing w:before="0" w:after="240" w:line="312" w:lineRule="auto"/>
      <w:widowControl/>
      <w:keepNext/>
    </w:pPr>
    <w:rPr>
      <w:sz w:val="40"/>
      <w:b/>
    </w:rPr>
  </w:style>
  <w:style w:type="paragraph" w:styleId="Subtitle">
    <w:name w:val="Subtitle"/>
    <w:pPr>
      <w:spacing w:before="0" w:after="480" w:line="312" w:lineRule="auto"/>
      <w:widowControl/>
      <w:keepNext/>
    </w:pPr>
    <w:rPr>
      <w:sz w:val="20"/>
      <w:color w:val="666666"/>
    </w:rPr>
  </w:style>
  <w:style w:type="paragraph" w:styleId="Heading1">
    <w:name w:val="Heading1"/>
    <w:pPr>
      <w:spacing w:before="360" w:after="180" w:line="312" w:lineRule="auto"/>
      <w:widowControl/>
      <w:keepNext/>
      <w:outlineLvl w:val="0"/>
    </w:pPr>
    <w:rPr>
      <w:sz w:val="30"/>
      <w:b/>
    </w:rPr>
  </w:style>
  <w:style w:type="paragraph" w:styleId="Heading2">
    <w:name w:val="Heading2"/>
    <w:pPr>
      <w:spacing w:before="280" w:after="150" w:line="312" w:lineRule="auto"/>
      <w:widowControl/>
      <w:keepNext/>
      <w:outlineLvl w:val="1"/>
    </w:pPr>
    <w:rPr>
      <w:sz w:val="26"/>
      <w:b/>
    </w:rPr>
  </w:style>
  <w:style w:type="paragraph" w:styleId="Separator">
    <w:name w:val="Separator"/>
    <w:pPr>
      <w:spacing w:before="150" w:after="200" w:line="312" w:lineRule="auto"/>
      <w:widowControl/>
      <w:jc w:val="center"/>
    </w:pPr>
    <w:rPr>
      <w:sz w:val="24"/>
    </w:rPr>
  </w:style>
  <w:style w:type="character" w:styleId="Hyperlink">
    <w:name w:val="Hyperlink"/>
    <w:rPr>
      <w:color w:val="315D82"/>
      <w:u w:val="single"/>
    </w:rPr>
  </w:style>
  <w:style w:type="paragraph" w:styleId="Note">
    <w:name w:val="Note"/>
    <w:basedOn w:val="Normal"/>
    <w:rPr>
      <w:sz w:val="20"/>
    </w:rPr>
  </w:style>
</w:styles>
</file>

<file path=word/_rels/document.xml.rels><?xml version='1.0' encoding='utf-8'?>
<Relationships xmlns="http://schemas.openxmlformats.org/package/2006/relationships"><Relationship Id="styles" Type="http://schemas.openxmlformats.org/officeDocument/2006/relationships/styles" Target="styles.xml" /><Relationship Id="footer" Type="http://schemas.openxmlformats.org/officeDocument/2006/relationships/footer" Target="footer1.xml" /></Relationships>
</file>