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Деньги без общей столицы</w:t>
      </w:r>
    </w:p>
    <w:p>
      <w:pPr>
        <w:pStyle w:val="Subtitle"/>
      </w:pPr>
      <w:r>
        <w:rPr/>
        <w:t xml:space="preserve">Право на решение · версия 10.1</w:t>
      </w:r>
    </w:p>
    <w:p>
      <w:pPr>
        <w:pStyle w:val="Normal"/>
      </w:pPr>
      <w:r>
        <w:rPr/>
        <w:t xml:space="preserve">Деньги уже у получателя. Деталь ещё нельзя поставить в печь.</w:t>
      </w:r>
    </w:p>
    <w:p>
      <w:pPr>
        <w:pStyle w:val="Normal"/>
      </w:pPr>
      <w:r>
        <w:rPr/>
        <w:t xml:space="preserve">Собственник, которому не удалось перенести чужой заказ на своей площадке, нашёл свободное время в другой стране. Оплата заняла меньше времени, чем когда-то занимал поиск реквизитов. Система сверила сумму, получателя и условия перевода. Но подтверждение платежа оказалось подтверждением только одного события. Нужный срок предстояло занять в производственном календаре, а присланная деталь ещё должна была пройти проверку совместимости с оборудованием.</w:t>
      </w:r>
    </w:p>
    <w:p>
      <w:pPr>
        <w:pStyle w:val="Normal"/>
      </w:pPr>
      <w:r>
        <w:rPr/>
        <w:t xml:space="preserve">В выбранном нами будущем это неудобство достаточно часто мешает хорошим сделкам, чтобы его стали устранять. Покупатель хочет приобрести законченное требование: определённую работу с определённым материалом в нужный период. Продавец готов принять такое обязательство, если ему не придётся отвечать за любой предмет, который пришлёт следующий владелец требования.</w:t>
      </w:r>
    </w:p>
    <w:p>
      <w:pPr>
        <w:pStyle w:val="Normal"/>
      </w:pPr>
      <w:r>
        <w:rPr/>
        <w:t xml:space="preserve">Возникает стандарт услуги. В нём описаны допустимая партия, способ подтвердить её пригодность, окно исполнения и условия передачи заказа другому покупателю. Теперь можно одновременно проверить оплату и зарезервировать время. При перепродаже новый держатель получает то же место в календаре; прежний его теряет. Один срок не превращается в два оттого, что запись о нём удобно переслать.</w:t>
      </w:r>
    </w:p>
    <w:p>
      <w:pPr>
        <w:pStyle w:val="Normal"/>
      </w:pPr>
      <w:r>
        <w:rPr/>
        <w:t xml:space="preserve">Это заметно расширяет рынок. Предприятие, которому время больше не нужно, способно продать его другому. Небольшой покупатель приобретает часть длинного заказа. Финансист охотнее оплачивает расширение печи, когда понимает, какие именно будущие услуги можно будет продать. Владелец отдельной линии получает более плотную загрузку, сохраняя за собой те окна, которыми хочет распоряжаться сам.</w:t>
      </w:r>
    </w:p>
    <w:p>
      <w:pPr>
        <w:pStyle w:val="Normal"/>
      </w:pPr>
      <w:r>
        <w:rPr/>
        <w:t xml:space="preserve">Деньги также меняются. Банки и платформы предлагают расчёты, встроенные в такие сделки. Обязательства участников учитываются вместе: тому, кто одновременно продаёт услуги и покупает чужие, не обязательно каждый раз перемещать полную сумму туда и обратно. Можно погашать встречные требования и перечислять остаток. Для этого приходится установить, какие обязательства признаются, чем покрывается нехватка денег и кто внесёт их первым, если расчёт сорвётся.</w:t>
      </w:r>
    </w:p>
    <w:p>
      <w:pPr>
        <w:pStyle w:val="Normal"/>
      </w:pPr>
      <w:r>
        <w:rPr/>
        <w:t xml:space="preserve">Удобство привлекает новых участников. Чем больше принятых поставщиков в расчётной сети, тем полезнее деньги, которые внутри неё легко обменять на нужную работу. Предприятие держит там остаток, потому что завтра ему понадобятся испытание, обработка и перевозка. Платформа получает доход с оборота. Банк — устойчивых клиентов и возможность кредитовать сделки, историю которых он видит. Большой покупатель — меньше разрывов между поставками.</w:t>
      </w:r>
    </w:p>
    <w:p>
      <w:pPr>
        <w:pStyle w:val="Normal"/>
      </w:pPr>
      <w:r>
        <w:rPr/>
        <w:t xml:space="preserve">Из этого может вырасти частная денежная сеть. Может укрепиться и банковская система с центральным банком в основании расчёта. В 2026 году Банк международных расчётов описывал второй путь: программируемые платежи и токенизированные активы внутри двухуровневой денежной системы. Прототип Agorá соединял общую платформу для банковских депозитов с отдельными реестрами резервов центральных банков разных юрисдикций. Совместное исполнение платежа не требовало появления единого мирового государства.</w:t>
      </w:r>
      <w:hyperlink w:anchor="Note1" w:history="1">
        <w:r>
          <w:rPr>
            <w:rStyle w:val="Hyperlink"/>
          </w:rPr>
          <w:t xml:space="preserve">[1]</w:t>
        </w:r>
      </w:hyperlink>
    </w:p>
    <w:p>
      <w:pPr>
        <w:pStyle w:val="Normal"/>
      </w:pPr>
      <w:r>
        <w:rPr/>
        <w:t xml:space="preserve">У публичного варианта есть собственная сила. Если банки рассчитываются в общем для них окончательном средстве платежа и его предоставление устроено надёжно, частный сбой легче отделить от остановки всей торговли. У частной сети — возможность быстрее приспособить расчёт к своей услуге. Часть участников будет пользоваться обоими устройствами: зарплату, налоги и сбережения вести в одной системе, короткие производственные сделки — в другой.</w:t>
      </w:r>
    </w:p>
    <w:p>
      <w:pPr>
        <w:pStyle w:val="Normal"/>
      </w:pPr>
      <w:r>
        <w:rPr/>
        <w:t xml:space="preserve">Переключение между ними тоже становится рынком. Посредник принимает одно требование и выдаёт другое, зарабатывая на обмене и принимая риск того, что первое не удастся погасить вовремя. Пока всё исполняется, различие почти незаметно покупателю. Оно проступает в тот день, когда один из участников не может заплатить.</w:t>
      </w:r>
    </w:p>
    <w:p>
      <w:pPr>
        <w:pStyle w:val="Normal"/>
      </w:pPr>
      <w:r>
        <w:rPr/>
        <w:t xml:space="preserve">Пусть поставщик получил аванс, но лишился части оборудования. На его счёте уже нет всей суммы: деньги ушли на материал и работу. Расчётная сеть может вернуть покупателю средства из заранее внесённого залога, затем использовать оплаченный резерв или предъявить требование гаранту. Каждый следующий слой защиты имеет владельца, который раньше согласился поставить под риск собственный капитал. За это он получил плату и право ограничивать объём принятых обязательств.</w:t>
      </w:r>
    </w:p>
    <w:p>
      <w:pPr>
        <w:pStyle w:val="Normal"/>
      </w:pPr>
      <w:r>
        <w:rPr/>
        <w:t xml:space="preserve">Возврат денег срабатывает. Покупатель не теряет весь аванс, следующие платежи продолжаются, исправные поставщики работают. Однако свободной печи в нужный день больше не стало. За время простоя покупатель отвечает сам либо покупает отдельное покрытие. Гарант, обещавший только денежное возмещение, не обязан доставлять отсутствующую деталь.</w:t>
      </w:r>
    </w:p>
    <w:p>
      <w:pPr>
        <w:pStyle w:val="Normal"/>
      </w:pPr>
      <w:r>
        <w:rPr/>
        <w:t xml:space="preserve">Можно приобрести и более дорогую защиту — резерв у другого производителя. Тогда часть платы заранее получает владелец замещающей мощности. Он держит доступное окно или принимает обязательство передвинуть менее срочный заказ. Покупатель платит за то, чтобы обещанию о поставке соответствовала физическая возможность. Двойная запись о деньгах обходилась бы дешевле.</w:t>
      </w:r>
    </w:p>
    <w:p>
      <w:pPr>
        <w:pStyle w:val="Normal"/>
      </w:pPr>
      <w:r>
        <w:rPr/>
        <w:t xml:space="preserve">Принадлежность к сети определяет доступных гарантов, признанные проверки, имущество, из которого возмещают убыток, и поставщиков, готовых заменить друг друга. Снаружи можно иметь достаточно денег и всё же дольше собирать ту же поставку. Внутри — получить кредит именно потому, что остальные участники умеют исполнить и проверить купленное требование.</w:t>
      </w:r>
    </w:p>
    <w:p>
      <w:pPr>
        <w:pStyle w:val="Normal"/>
      </w:pPr>
      <w:r>
        <w:rPr/>
        <w:t xml:space="preserve">У новой границы появляются противники. Крупный заказчик может потребовать совместимости с другой расчётной системой. Несколько банков могут соединить сети, чтобы не отдавать посреднику весь доход. Государство может поддержать общий стандарт и открыть доступ новым поставщикам. Такие решения работают: снижают цену перехода и лишают одну платформу части власти. Им тоже нужны капитал, признанные обязательства и участники, которым выгодно поддерживать соединение.</w:t>
      </w:r>
    </w:p>
    <w:p>
      <w:pPr>
        <w:pStyle w:val="Normal"/>
      </w:pPr>
      <w:r>
        <w:rPr/>
        <w:t xml:space="preserve">Но даже соединённые реестры заканчиваются у оборудования, стоящего на определённой территории. Местная власть способна изменить порядок работы энергосети, остановить предприятие или дать приоритет другому потребителю. Посредник запишет возникший убыток. Банк проведёт предусмотренный платёж. Суд может признать требование. Кто-то ещё должен будет обеспечить исполнение там, где стоит печь.</w:t>
      </w:r>
    </w:p>
    <w:p>
      <w:pPr>
        <w:pStyle w:val="Normal"/>
      </w:pPr>
      <w:r>
        <w:rPr/>
        <w:t xml:space="preserve">У общей расчётной сети нет собственной общей столицы. Её участники возвращаются к столицам существующим — договариваться о том, какие обещания те готовы поддержать своей властью.</w:t>
      </w:r>
    </w:p>
    <w:p>
      <w:pPr>
        <w:pStyle w:val="Heading1"/>
      </w:pPr>
      <w:r>
        <w:rPr/>
        <w:t xml:space="preserve">Примечания</w:t>
      </w:r>
    </w:p>
    <w:p>
      <w:pPr>
        <w:pStyle w:val="Note"/>
      </w:pPr>
      <w:bookmarkStart w:id="1" w:name="Note1"/>
      <w:r>
        <w:rPr/>
        <w:t xml:space="preserve">1. </w:t>
      </w:r>
      <w:r>
        <w:rPr/>
        <w:t xml:space="preserve">BIS. </w:t>
      </w:r>
      <w:hyperlink w:history="1" r:id="link1">
        <w:r>
          <w:rPr>
            <w:i/>
            <w:rStyle w:val="Hyperlink"/>
          </w:rPr>
          <w:t xml:space="preserve">The path to the next-generation monetary and financial system lies in safeguarding trust in money</w:t>
        </w:r>
      </w:hyperlink>
      <w:r>
        <w:rPr/>
        <w:t xml:space="preserve">, 23 июня 2026: разделы о двухуровневой системе, едином реестре и прототипе Project Agorá. Это предложение институциональной архитектуры; производственная расчётная сеть главы — авторская конструкция.</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www.bis.org/media-releases/20260623-path-next-generation-monetary-and-financial-system-lies-safeguarding-trust-money-bis" TargetMode="External" /></Relationships>
</file>