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Title"/>
      </w:pPr>
      <w:r>
        <w:rPr/>
        <w:t xml:space="preserve">Суверенитет по договору</w:t>
      </w:r>
    </w:p>
    <w:p>
      <w:pPr>
        <w:pStyle w:val="Subtitle"/>
      </w:pPr>
      <w:r>
        <w:rPr/>
        <w:t xml:space="preserve">Право на решение · версия 10.1</w:t>
      </w:r>
    </w:p>
    <w:p>
      <w:pPr>
        <w:pStyle w:val="Normal"/>
      </w:pPr>
      <w:r>
        <w:rPr/>
        <w:t xml:space="preserve">Государство может распорядиться остановить завод на своей территории. Гораздо интереснее вопрос, на каких условиях оно согласится этого не делать.</w:t>
      </w:r>
    </w:p>
    <w:p>
      <w:pPr>
        <w:pStyle w:val="Normal"/>
      </w:pPr>
      <w:r>
        <w:rPr/>
        <w:t xml:space="preserve">Для нашей производственной сети таким условием становится резерв электрической мощности. Правительство предоставляет площадки, подключение и возможность заключать длинные договоры. Взамен оператор обязуется оставлять часть мощности для внутренних потребителей в заранее описанных обстоятельствах. Остальное можно продавать, в том числе за границу. Инвестор получает предсказуемую работу оборудования, казна — доход, местная промышленность — более надёжное снабжение.</w:t>
      </w:r>
    </w:p>
    <w:p>
      <w:pPr>
        <w:pStyle w:val="Normal"/>
      </w:pPr>
      <w:r>
        <w:rPr/>
        <w:t xml:space="preserve">Каждая сторона могла бы потребовать больше. Правительство — право менять приоритет в любой момент без возмещения. Инвестор — полную неприкосновенность расписания. При первом условии капитал становится дороже, при втором власть рискует обнаружить, что деньги за энергию получены, а распоряжаться ею в критический срок нельзя. Соглашение возникает между этими требованиями. Зарезервированная мощность стоит государству недополученного дохода, зато её использование не требует заново выкупать каждый час у внешнего покупателя.</w:t>
      </w:r>
    </w:p>
    <w:p>
      <w:pPr>
        <w:pStyle w:val="Normal"/>
      </w:pPr>
      <w:r>
        <w:rPr/>
        <w:t xml:space="preserve">Оператором может быть компания, принадлежащая местным владельцам, международный консорциум или публичное предприятие. Внутри каждого всё большую часть координации выполняют машины. Владельцы и правительства по-разному делят право назначать условия и принимать обязательства. Их положение в следующем споре зависит также от того, кто способен продолжить работу после разрыва соглашения.</w:t>
      </w:r>
    </w:p>
    <w:p>
      <w:pPr>
        <w:pStyle w:val="Normal"/>
      </w:pPr>
      <w:r>
        <w:rPr/>
        <w:t xml:space="preserve">Пусть во время пикового спроса государственный резерв действительно понадобился. Машинный диспетчер сокращает предусмотренную часть внешних поставок и направляет энергию внутренним потребителям. Пострадавшие покупатели получают именно то возмещение, которое включили в цену договора. Участники заранее согласились, какой объём расписания уступает этому праву. Правительство воспользовалось своей властью, а сеть исполнила решение без разрушения всей кооперации.</w:t>
      </w:r>
    </w:p>
    <w:p>
      <w:pPr>
        <w:pStyle w:val="Normal"/>
      </w:pPr>
      <w:r>
        <w:rPr/>
        <w:t xml:space="preserve">Такая уступка выгодна оператору. Она позволяет заключать длинные сделки с государством, которому опасно обещать собственным потребителям только денежную компенсацию за отсутствие энергии. Внешний покупатель тоже выигрывает: остальная часть поставки защищена от произвольного расширения чрезвычайного режима. Согласившись на сокращение в оговорённый пик, он получает скидку. Тот, кому важнее непрерывность работы, покупает более дорогую поставку с отдельным резервом.</w:t>
      </w:r>
    </w:p>
    <w:p>
      <w:pPr>
        <w:pStyle w:val="Normal"/>
      </w:pPr>
      <w:r>
        <w:rPr/>
        <w:t xml:space="preserve">В следующем договоре предмет торга становится шире. Кто допускает новую систему к управлению? Какая организация отвечает, если её решение причинит ущерб? Какие данные получает государство, а какие остаются у оператора? Замена программы не должна позволять компании начать историю обязательств с чистого листа.</w:t>
      </w:r>
    </w:p>
    <w:p>
      <w:pPr>
        <w:pStyle w:val="Normal"/>
      </w:pPr>
      <w:r>
        <w:rPr/>
        <w:t xml:space="preserve">Хэдфилд и Ко, рассматривая экономику ИИ-агентов, выделяют именно эти недостающие институты: регистрацию, ответственность, имущество для исполнения решений и правила допуска. Они сравнивают привязку агента к отвечающему за него человеку или организации с возможной отдельной правосубъектностью самого агента. От выбора конструкции меняется тот, кому можно предъявить требование.</w:t>
      </w:r>
      <w:hyperlink w:anchor="Note1" w:history="1">
        <w:r>
          <w:rPr>
            <w:rStyle w:val="Hyperlink"/>
          </w:rPr>
          <w:t xml:space="preserve">[1]</w:t>
        </w:r>
      </w:hyperlink>
    </w:p>
    <w:p>
      <w:pPr>
        <w:pStyle w:val="Normal"/>
      </w:pPr>
      <w:r>
        <w:rPr/>
        <w:t xml:space="preserve">В нашем мире на этой стадии обязательство принимает оператор. Он вносит обеспечение, предоставляет проверяемую историю работы и допускает согласованный аудит. Государство утверждает правила для своей территории. Часть технических требований вырабатывает объединение сетей: ему дешевле признать одну достаточно строгую проверку, чем заново испытывать каждое соединение. Одобрение системы позволяет включить её в сеть. Для строительства на конкретной площадке компании ещё нужно согласие тех, кто распоряжается землёй и подключением.</w:t>
      </w:r>
    </w:p>
    <w:p>
      <w:pPr>
        <w:pStyle w:val="Normal"/>
      </w:pPr>
      <w:r>
        <w:rPr/>
        <w:t xml:space="preserve">Страны будут выбирать разные сочетания. Территория с дешёвой энергией заинтересована привлечь вычислительные и производственные мощности. Финансовый центр — провести через себя расчёты и страхование. Промышленное государство — оставить внутри критические операции и знания, необходимые для замены поставщика. Крупный экспортёр может согласиться на меньшее число собственных функций ради большей выручки. Эти различия создают новые пути кооперации и новые поводы спорить о том, кому достаётся её доход.</w:t>
      </w:r>
    </w:p>
    <w:p>
      <w:pPr>
        <w:pStyle w:val="Normal"/>
      </w:pPr>
      <w:r>
        <w:rPr/>
        <w:t xml:space="preserve">Внутри каждой страны выбор тоже разделяет влиятельные группы. Экспортёры заинтересованы в совместимости с внешней сетью. Владельцы защищённого внутреннего рынка могут предпочесть дорогой национальный стандарт, если он затрудняет вход конкурентов. Финансовое ведомство сравнивает налоговый доход и расходы на резерв. Военные требуют возможности продолжать работу при разрыве внешних связей. Местная администрация торгуется за долю дохода площадки, которая заняла её землю и подключение. Ни одна из этих позиций не представляет автоматически интересы всей страны.</w:t>
      </w:r>
    </w:p>
    <w:p>
      <w:pPr>
        <w:pStyle w:val="Normal"/>
      </w:pPr>
      <w:r>
        <w:rPr/>
        <w:t xml:space="preserve">Машины обслуживают разные программы. Система экспортёра ищет более дешёвый путь поставки. Система внутреннего производителя рассчитывает выгодную замену импорта. Государственный аппарат сопоставляет последствия обоих вариантов для бюджета и снабжения. Улучшение расчёта может обнаружить сделку, прежде незаметную сторонам. Оно может также точнее показать, сколько одна группа потеряет от решения другой.</w:t>
      </w:r>
    </w:p>
    <w:p>
      <w:pPr>
        <w:pStyle w:val="Normal"/>
      </w:pPr>
      <w:r>
        <w:rPr/>
        <w:t xml:space="preserve">Сильное правительство способно использовать конкуренцию сетей. Оно оплачивает совместимость с двумя операторами, сохраняет собственную диспетчерскую функцию и требует возможности перенести данные. Часть оборудования приходится дублировать, часть выгод общей платформы теряется. Зато смена поставщика перестаёт быть угрозой остановить целую отрасль. В нескольких территориях нашего мира этот выбор окупается: условия внешних договоров улучшаются, а внутреннее снабжение переживает выход одного оператора.</w:t>
      </w:r>
    </w:p>
    <w:p>
      <w:pPr>
        <w:pStyle w:val="Normal"/>
      </w:pPr>
      <w:r>
        <w:rPr/>
        <w:t xml:space="preserve">Другая территория предпочитает более тесную интеграцию. Её владельцы получают больший доход, её предприятия — лучшее оборудование, её казна — большую долю нового оборота. Она может выйти из соглашения, но замена обойдётся дороже и займёт время. Здесь зависимость куплена вместе с выгодой, которую население и влиятельные собственники уже получают. Сторонникам выхода придётся предложить им не только новое знамя, но и работающий способ сохранить нужные услуги.</w:t>
      </w:r>
    </w:p>
    <w:p>
      <w:pPr>
        <w:pStyle w:val="Normal"/>
      </w:pPr>
      <w:r>
        <w:rPr/>
        <w:t xml:space="preserve">На карте по-прежнему обозначены государства. Внутри границ действуют их законы, налоги и вооружённая сила. Поверх этой карты лежит другая: объединения платежей, энергетические связи, допуски к производству, системы страхования. Участник может принадлежать сразу нескольким сетям. Права в одной из них не дают ему общего права командовать остальными, но открывают конкретные возможности, которые трудно приобрести поодиночке.</w:t>
      </w:r>
    </w:p>
    <w:p>
      <w:pPr>
        <w:pStyle w:val="Normal"/>
      </w:pPr>
      <w:r>
        <w:rPr/>
        <w:t xml:space="preserve">Самое опасное место находится между правом ограничить чужую работу и способностью пережить ответное ограничение. Пока обе стороны могут позволить себе ждать, здесь идёт торг. Когда одна считает, что скоро потеряет эту возможность, к договорам начинают прилагать гарантии другого рода.</w:t>
      </w:r>
    </w:p>
    <w:p>
      <w:pPr>
        <w:pStyle w:val="Heading1"/>
      </w:pPr>
      <w:r>
        <w:rPr/>
        <w:t xml:space="preserve">Примечания</w:t>
      </w:r>
    </w:p>
    <w:p>
      <w:pPr>
        <w:pStyle w:val="Note"/>
      </w:pPr>
      <w:bookmarkStart w:id="1" w:name="Note1"/>
      <w:r>
        <w:rPr/>
        <w:t xml:space="preserve">1. </w:t>
      </w:r>
      <w:r>
        <w:rPr/>
        <w:t xml:space="preserve">Gillian K. Hadfield, Andrew Koh. </w:t>
      </w:r>
      <w:hyperlink w:history="1" r:id="link1">
        <w:r>
          <w:rPr>
            <w:i/>
            <w:rStyle w:val="Hyperlink"/>
          </w:rPr>
          <w:t xml:space="preserve">An Economy of AI Agents</w:t>
        </w:r>
      </w:hyperlink>
      <w:r>
        <w:rPr/>
        <w:t xml:space="preserve">, 2025, §4.1–4.2, с. 11–13. Авторы рассматривают варианты будущих институтов; энергетический договор, режимы территорий и их результаты в главе — условное устройство выбранного мира.</w:t>
      </w:r>
      <w:bookmarkEnd w:id="1"/>
    </w:p>
    <w:sectPr>
      <w:footerReference w:type="default" r:id="footer"/>
      <w:pgSz w:w="11906" w:h="16838"/>
      <w:pgMar w:top="1276" w:right="1361" w:bottom="1276" w:left="1361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PAGE">
      <w: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Georgia" w:hAnsi="Georgia" w:cs="Georgia"/>
        <w:sz w:val="24"/>
        <w:lang w:val="ru-RU"/>
      </w:rPr>
    </w:rPrDefault>
  </w:docDefaults>
  <w:style w:type="paragraph" w:styleId="Normal" w:default="1">
    <w:name w:val="Normal"/>
    <w:pPr>
      <w:spacing w:before="0" w:after="120" w:line="312" w:lineRule="auto"/>
      <w:widowControl/>
    </w:pPr>
    <w:rPr>
      <w:sz w:val="24"/>
    </w:rPr>
  </w:style>
  <w:style w:type="paragraph" w:styleId="Title">
    <w:name w:val="Title"/>
    <w:pPr>
      <w:spacing w:before="0" w:after="240" w:line="312" w:lineRule="auto"/>
      <w:widowControl/>
      <w:keepNext/>
    </w:pPr>
    <w:rPr>
      <w:sz w:val="40"/>
      <w:b/>
    </w:rPr>
  </w:style>
  <w:style w:type="paragraph" w:styleId="Subtitle">
    <w:name w:val="Subtitle"/>
    <w:pPr>
      <w:spacing w:before="0" w:after="480" w:line="312" w:lineRule="auto"/>
      <w:widowControl/>
      <w:keepNext/>
    </w:pPr>
    <w:rPr>
      <w:sz w:val="20"/>
      <w:color w:val="666666"/>
    </w:rPr>
  </w:style>
  <w:style w:type="paragraph" w:styleId="Heading1">
    <w:name w:val="Heading1"/>
    <w:pPr>
      <w:spacing w:before="360" w:after="180" w:line="312" w:lineRule="auto"/>
      <w:widowControl/>
      <w:keepNext/>
      <w:outlineLvl w:val="0"/>
    </w:pPr>
    <w:rPr>
      <w:sz w:val="30"/>
      <w:b/>
    </w:rPr>
  </w:style>
  <w:style w:type="paragraph" w:styleId="Heading2">
    <w:name w:val="Heading2"/>
    <w:pPr>
      <w:spacing w:before="280" w:after="150" w:line="312" w:lineRule="auto"/>
      <w:widowControl/>
      <w:keepNext/>
      <w:outlineLvl w:val="1"/>
    </w:pPr>
    <w:rPr>
      <w:sz w:val="26"/>
      <w:b/>
    </w:rPr>
  </w:style>
  <w:style w:type="paragraph" w:styleId="Separator">
    <w:name w:val="Separator"/>
    <w:pPr>
      <w:spacing w:before="150" w:after="200" w:line="312" w:lineRule="auto"/>
      <w:widowControl/>
      <w:jc w:val="center"/>
    </w:pPr>
    <w:rPr>
      <w:sz w:val="24"/>
    </w:rPr>
  </w:style>
  <w:style w:type="character" w:styleId="Hyperlink">
    <w:name w:val="Hyperlink"/>
    <w:rPr>
      <w:color w:val="315D82"/>
      <w:u w:val="single"/>
    </w:rPr>
  </w:style>
  <w:style w:type="paragraph" w:styleId="Note">
    <w:name w:val="Note"/>
    <w:basedOn w:val="Normal"/>
    <w:rPr>
      <w:sz w:val="20"/>
    </w:rPr>
  </w:style>
</w:styles>
</file>

<file path=word/_rels/document.xml.rels><?xml version='1.0' encoding='utf-8'?>
<Relationships xmlns="http://schemas.openxmlformats.org/package/2006/relationships"><Relationship Id="styles" Type="http://schemas.openxmlformats.org/officeDocument/2006/relationships/styles" Target="styles.xml" /><Relationship Id="footer" Type="http://schemas.openxmlformats.org/officeDocument/2006/relationships/footer" Target="footer1.xml" /><Relationship Id="link1" Type="http://schemas.openxmlformats.org/officeDocument/2006/relationships/hyperlink" Target="https://arxiv.org/abs/2509.01063v1" TargetMode="External" /></Relationships>
</file>