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Если никто не хочет начинать</w:t>
      </w:r>
    </w:p>
    <w:p>
      <w:pPr>
        <w:pStyle w:val="Subtitle"/>
      </w:pPr>
      <w:r>
        <w:rPr/>
        <w:t xml:space="preserve">Право на решение · версия 10.1</w:t>
      </w:r>
    </w:p>
    <w:p>
      <w:pPr>
        <w:pStyle w:val="Normal"/>
      </w:pPr>
      <w:r>
        <w:rPr/>
        <w:t xml:space="preserve">Пустая мастерская может быть одним из самых дорогих последствий достигнутой свободы. Её оборудовали, открыли доступ, оплатили инструменты. Войти можно. Занятия почти на любой вкус тоже есть. Но возможность начать собственное дело ещё не стала причиной возвращаться к нему завтра.</w:t>
      </w:r>
    </w:p>
    <w:p>
      <w:pPr>
        <w:pStyle w:val="Normal"/>
      </w:pPr>
      <w:r>
        <w:rPr/>
        <w:t xml:space="preserve">В выбранной нами жизни помощь устроена хорошо. Система находит интересное, объясняет непонятное, подбирает посильную трудность. При желании она завершит работу сама. Пользователь получает готовый результат и приятное ощущение движения. За вечер можно побывать во множестве занятий, ни в одном не столкнувшись с необходимостью решить, ради чего продолжать.</w:t>
      </w:r>
    </w:p>
    <w:p>
      <w:pPr>
        <w:pStyle w:val="Normal"/>
      </w:pPr>
      <w:r>
        <w:rPr/>
        <w:t xml:space="preserve">Это удобно обеим сторонам. Человек получает хороший вечер. Поставщик — возвращающегося пользователя. Если оплату определяют длительность участия и положительная оценка, удачно устроенная помощь будет производить прежде всего их. У неё нет внутренней причины доводить человека до момента, когда он выберет другой инструмент и уйдёт делать своё.</w:t>
      </w:r>
    </w:p>
    <w:p>
      <w:pPr>
        <w:pStyle w:val="Normal"/>
      </w:pPr>
      <w:r>
        <w:rPr/>
        <w:t xml:space="preserve">Здесь легко соблазниться страшным ответом: сытость лишает побуждения, удовольствие заканчивается бездействием, дальше — упадок. История опытов Джона Кэлхуна часто используется именно для такого перехода. Но в ней смешались животные колонии, человеческие страхи и программа самого исследователя. Рамсден и Адамс показывают, что Кэлхун искал и способы изменить среду, роли и взаимодействия; поздняя исследовательская надежда оказалась менее известной, чем катастрофа. Его опыты не устанавливают судьбу обеспеченных людей.</w:t>
      </w:r>
      <w:hyperlink w:anchor="Note1" w:history="1">
        <w:r>
          <w:rPr>
            <w:rStyle w:val="Hyperlink"/>
          </w:rPr>
          <w:t xml:space="preserve">[1]</w:t>
        </w:r>
      </w:hyperlink>
    </w:p>
    <w:p>
      <w:pPr>
        <w:pStyle w:val="Normal"/>
      </w:pPr>
      <w:r>
        <w:rPr/>
        <w:t xml:space="preserve">Предмет нашего решения находится ближе: на что именно получает право посетитель мастерской.</w:t>
      </w:r>
    </w:p>
    <w:p>
      <w:pPr>
        <w:pStyle w:val="Normal"/>
      </w:pPr>
      <w:r>
        <w:rPr/>
        <w:t xml:space="preserve">Можно дать ему готовую задачу, материалы и похвалу за прохождение. Можно — инструмент, на котором он способен добиться выбранного им результата, обратную связь и людей, заинтересованных в продолжении. Внешне оба предложения похожи. В одном случае вечером закончится услуга. В другом может остаться работа, к которой человек решит вернуться.</w:t>
      </w:r>
    </w:p>
    <w:p>
      <w:pPr>
        <w:pStyle w:val="Normal"/>
      </w:pPr>
      <w:r>
        <w:rPr/>
        <w:t xml:space="preserve">Райан и Деси связывают внутреннюю мотивацию с переживанием компетентности и собственного выбора. Поддержка помогает там, где занятие имеет интерес для самого участника; чужое требование пройти ещё одну ступень способно изменить отношение к нему.</w:t>
      </w:r>
      <w:hyperlink w:anchor="Note2" w:history="1">
        <w:r>
          <w:rPr>
            <w:rStyle w:val="Hyperlink"/>
          </w:rPr>
          <w:t xml:space="preserve">[2]</w:t>
        </w:r>
      </w:hyperlink>
      <w:r>
        <w:rPr/>
        <w:t xml:space="preserve"> Поэтому более настойчивая помощь не всегда приближает собственное начало. Иногда требуется оставить человеку право перестроить задачу, замедлиться или уйти.</w:t>
      </w:r>
    </w:p>
    <w:p>
      <w:pPr>
        <w:pStyle w:val="Normal"/>
      </w:pPr>
      <w:r>
        <w:rPr/>
        <w:t xml:space="preserve">У такого права есть рабочее содержание. Результат можно унести. Документацию — понять и изменить. Промежуточную работу — продолжить на другом инструменте. Партнёра — выбрать без назначения системой. В мастерской остаётся реальная обратная связь: сделанное выдержало нагрузку или сломалось, исполнение прозвучало так, как задумано, либо потребовало переделки. Машина помогает разобраться. Ей не поручено заранее сделать всякий исход удовлетворительным.</w:t>
      </w:r>
    </w:p>
    <w:p>
      <w:pPr>
        <w:pStyle w:val="Normal"/>
      </w:pPr>
      <w:r>
        <w:rPr/>
        <w:t xml:space="preserve">Участнику может понадобиться трудность, которой можно избежать. Готовую музыку легко заказать, а собственную — придётся долго делать. Это разумный расход, если именно работа входит в желательную жизнь. Машинный результат не лишает смысла человеческое действие, адресованное себе и другим людям. Для слушателя существенным может быть и то, кто его создал.</w:t>
      </w:r>
    </w:p>
    <w:p>
      <w:pPr>
        <w:pStyle w:val="Normal"/>
      </w:pPr>
      <w:r>
        <w:rPr/>
        <w:t xml:space="preserve">Такой интерес нельзя распространить приказом на всех. Один человек будет строить, другой — играть, третий — заниматься близкими, четвёртый предпочтет путешествия и хороший разговор. У владельца мастерской не появляется право назвать их неудачами только потому, что они не вернулись к его станку. Но тот, кто хочет продолжать собственное дело и не может найти подходящую среду, предъявляет вполне определённый спрос.</w:t>
      </w:r>
    </w:p>
    <w:p>
      <w:pPr>
        <w:pStyle w:val="Normal"/>
      </w:pPr>
      <w:r>
        <w:rPr/>
        <w:t xml:space="preserve">На этот спрос могут ответить сами участники. Они оплатят помещение, совместное пользование оборудованием и время специалиста. Местная власть поддержит часть расходов, если ей нужны новые команды и действующее обслуживание территории. Небольшой производитель купит испытания, которые слишком дороги поодиночке. Одна площадка соберёт эти интересы, другая возникнет вокруг искусства, третья — вокруг исследований. Удачный общий ответ начнётся с разных причин приходить в одно место.</w:t>
      </w:r>
    </w:p>
    <w:p>
      <w:pPr>
        <w:pStyle w:val="Normal"/>
      </w:pPr>
      <w:r>
        <w:rPr/>
        <w:t xml:space="preserve">У подобной среды свой показатель результата. Человек продолжил работу, изменил задачу, собрал партнёров, создал собственное расписание. Иногда он перестал посещать первую площадку, потому что ему потребовалась следующая. Для продавца часов вовлечённости это потеря клиента. Для объединения, заинтересованного в новой самостоятельной команде, — удача.</w:t>
      </w:r>
    </w:p>
    <w:p>
      <w:pPr>
        <w:pStyle w:val="Normal"/>
      </w:pPr>
      <w:r>
        <w:rPr/>
        <w:t xml:space="preserve">Расхождение интересов не обязывает первую сторону становиться врагом. Площадка может получать плату за оборудование, консультацию, проверку результата. Успешная команда возвращается с новым заказом или рекомендует её другим. Уход не обязан обрывать всю выручку. Но для этого владелец должен уметь продавать что-то помимо удержания человека внутри.</w:t>
      </w:r>
    </w:p>
    <w:p>
      <w:pPr>
        <w:pStyle w:val="Normal"/>
      </w:pPr>
      <w:r>
        <w:rPr/>
        <w:t xml:space="preserve">В нашей ветви такие среды помогают. Возникают команды, собственные занятия и работы, которые участники действительно продолжают. Часть людей приобретает устойчивое дело благодаря доступу к инструменту; часть — благодаря партнёру; часть — благодаря тому, что наконец исчезла необходимость каждый день выбирать самое быстрое вознаграждение. Достаток остаётся основанием этой свободы.</w:t>
      </w:r>
    </w:p>
    <w:p>
      <w:pPr>
        <w:pStyle w:val="Normal"/>
      </w:pPr>
      <w:r>
        <w:rPr/>
        <w:t xml:space="preserve">Для общественной власти это неудобный итог. Легче оплатить одинаковый маршрут и сосчитать завершивших. Разные среды требуют распределять оборудование, время и деньги между несравнимыми занятиями. Здесь возникнет борьба за право называться полезным: у исследователей, художников, производителей, владельцев развлечений и местных объединений будут свои покровители и свои основания требовать ресурс. Удовлетворённость большинства станет сильным доводом одной коалиции; создание новых возможностей — другой.</w:t>
      </w:r>
    </w:p>
    <w:p>
      <w:pPr>
        <w:pStyle w:val="Normal"/>
      </w:pPr>
      <w:r>
        <w:rPr/>
        <w:t xml:space="preserve">Но останется и более личное затруднение. Задача выбрана, люди найдены, возвращаться хочется. А осуществлять выбранное приходится с болью, тревогой или побуждением, которое каждый раз уводит в сторону.</w:t>
      </w:r>
    </w:p>
    <w:p>
      <w:pPr>
        <w:pStyle w:val="Normal"/>
      </w:pPr>
      <w:r>
        <w:rPr/>
        <w:t xml:space="preserve">Тогда запрос направится уже не к мастерской.</w:t>
      </w:r>
    </w:p>
    <w:p>
      <w:pPr>
        <w:pStyle w:val="Heading1"/>
      </w:pPr>
      <w:r>
        <w:rPr/>
        <w:t xml:space="preserve">Примечания</w:t>
      </w:r>
    </w:p>
    <w:p>
      <w:pPr>
        <w:pStyle w:val="Note"/>
      </w:pPr>
      <w:bookmarkStart w:id="1" w:name="Note1"/>
      <w:r>
        <w:rPr/>
        <w:t xml:space="preserve">1. </w:t>
      </w:r>
      <w:r>
        <w:rPr/>
        <w:t xml:space="preserve">Edmund Ramsden, Jon Adams. </w:t>
      </w:r>
      <w:hyperlink w:history="1" r:id="link1">
        <w:r>
          <w:rPr>
            <w:rStyle w:val="Hyperlink"/>
          </w:rPr>
          <w:t xml:space="preserve">Escaping the Laboratory: The Rodent Experiments of John B. Calhoun and Their Cultural Influence</w:t>
        </w:r>
      </w:hyperlink>
      <w:r>
        <w:rPr/>
        <w:t xml:space="preserve">, </w:t>
      </w:r>
      <w:r>
        <w:rPr>
          <w:i/>
        </w:rPr>
        <w:t xml:space="preserve">Journal of Social History</w:t>
      </w:r>
      <w:r>
        <w:rPr/>
        <w:t xml:space="preserve">, 2009, с. 774–778. Исторический анализ критики межвидового переноса и конструктивной программы Кэлхуна. Его намерение спроектировать иную среду не равно доказанной технологии развития человеческого общества.</w:t>
      </w:r>
      <w:bookmarkEnd w:id="1"/>
    </w:p>
    <w:p>
      <w:pPr>
        <w:pStyle w:val="Note"/>
      </w:pPr>
      <w:bookmarkStart w:id="2" w:name="Note2"/>
      <w:r>
        <w:rPr/>
        <w:t xml:space="preserve">2. </w:t>
      </w:r>
      <w:r>
        <w:rPr/>
        <w:t xml:space="preserve">Richard M. Ryan, Edward L. Deci. </w:t>
      </w:r>
      <w:hyperlink w:history="1" r:id="link2">
        <w:r>
          <w:rPr>
            <w:rStyle w:val="Hyperlink"/>
          </w:rPr>
          <w:t xml:space="preserve">Self-Determination Theory and the Facilitation of Intrinsic Motivation, Social Development, and Well-Being</w:t>
        </w:r>
      </w:hyperlink>
      <w:r>
        <w:rPr/>
        <w:t xml:space="preserve">, </w:t>
      </w:r>
      <w:r>
        <w:rPr>
          <w:i/>
        </w:rPr>
        <w:t xml:space="preserve">American Psychologist</w:t>
      </w:r>
      <w:r>
        <w:rPr/>
        <w:t xml:space="preserve">, 2000, с. 70–74. Обзор определённой теории мотивации; поддержка автономии и компетентности не делает любое занятие интересным каждому человеку. Описанная далее мастерская — авторская конструкция.</w:t>
      </w:r>
      <w:bookmarkEnd w:id="2"/>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researchonline.lse.ac.uk/id/eprint/22514/" TargetMode="External" /><Relationship Id="link2" Type="http://schemas.openxmlformats.org/officeDocument/2006/relationships/hyperlink" Target="https://selfdeterminationtheory.org/SDT/documents/2000_RyanDeci_SDT.pdf" TargetMode="External" /></Relationships>
</file>