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</w:pPr>
      <w:r>
        <w:rPr/>
        <w:t xml:space="preserve">Переизобрести себя</w:t>
      </w:r>
    </w:p>
    <w:p>
      <w:pPr>
        <w:pStyle w:val="Subtitle"/>
      </w:pPr>
      <w:r>
        <w:rPr/>
        <w:t xml:space="preserve">Право на решение · версия 10.1</w:t>
      </w:r>
    </w:p>
    <w:p>
      <w:pPr>
        <w:pStyle w:val="Normal"/>
      </w:pPr>
      <w:r>
        <w:rPr/>
        <w:t xml:space="preserve">В 2025 году исследователи сообщили о небольшом испытании с участием сорока восьми взрослых с алкогольным расстройством, не обращавшихся за лечением. В течение девяти недель одна группа получала семаглутид, другая — плацебо. У первой группы слабело влечение к алкоголю; в те дни, когда участники пили, они выпивали меньше. Число дней употребления заметно не изменилось.</w:t>
      </w:r>
      <w:hyperlink w:anchor="Note1" w:history="1">
        <w:r>
          <w:rPr>
            <w:rStyle w:val="Hyperlink"/>
          </w:rPr>
          <w:t xml:space="preserve">[1]</w:t>
        </w:r>
      </w:hyperlink>
    </w:p>
    <w:p>
      <w:pPr>
        <w:pStyle w:val="Normal"/>
      </w:pPr>
      <w:r>
        <w:rPr/>
        <w:t xml:space="preserve">Ослабло нечто, чему трудно назначить цену извне: сила, с которой предмет требует человека к себе.</w:t>
      </w:r>
    </w:p>
    <w:p>
      <w:pPr>
        <w:pStyle w:val="Normal"/>
      </w:pPr>
      <w:r>
        <w:rPr/>
        <w:t xml:space="preserve">Влечение умеет пережить удовольствие. Робинсон и Берридж описывают это расхождение в исследованиях зависимости: побуждение искать награду может оставаться сильным, когда сама награда уже нравится гораздо меньше. Человек способен искренне хотеть прекратить и снова возвращаться.</w:t>
      </w:r>
      <w:hyperlink w:anchor="Note2" w:history="1">
        <w:r>
          <w:rPr>
            <w:rStyle w:val="Hyperlink"/>
          </w:rPr>
          <w:t xml:space="preserve">[2]</w:t>
        </w:r>
      </w:hyperlink>
      <w:r>
        <w:rPr/>
        <w:t xml:space="preserve"> Тогда помощь, ослабляющая влечение, получает иной смысл. Для того, кто хочет отказаться, она увеличивает шанс выполнить собственное решение.</w:t>
      </w:r>
    </w:p>
    <w:p>
      <w:pPr>
        <w:pStyle w:val="Normal"/>
      </w:pPr>
      <w:r>
        <w:rPr/>
        <w:t xml:space="preserve">Иногда огромный личный выигрыш начинается с ослабления одного желания.</w:t>
      </w:r>
    </w:p>
    <w:p>
      <w:pPr>
        <w:pStyle w:val="Normal"/>
      </w:pPr>
      <w:r>
        <w:rPr/>
        <w:t xml:space="preserve">Чужой запрет, отсутствие денег, необходимость добывать завтрашнюю еду, закрытая дверь учреждения — привычные препятствия свободе. В обеспеченных сообществах, до которых мы дошли, часть этих препятствий действительно снята. Есть время. Есть доступ к знаниям, инструментам, партнёрам. Можно жить без работы, взятой только ради содержания. Можно выбрать трудную работу.</w:t>
      </w:r>
    </w:p>
    <w:p>
      <w:pPr>
        <w:pStyle w:val="Normal"/>
      </w:pPr>
      <w:r>
        <w:rPr/>
        <w:t xml:space="preserve">И всё это приходится осуществлять тем же телом.</w:t>
      </w:r>
    </w:p>
    <w:p>
      <w:pPr>
        <w:pStyle w:val="Normal"/>
      </w:pPr>
      <w:r>
        <w:rPr/>
        <w:t xml:space="preserve">Тело не обязано поддерживать решение, которое кажется убедительным при хорошем сне и спокойном размышлении. Боль, тревога, навязчивое влечение способны занять день раньше, чем в нём появится место для намерения. Часть людей воспользуется открывшимся достатком, чтобы лучше отдыхать. Часть — чтобы лечиться. Часть захочет выдерживать нагрузку, которую прежде выбирала лишь на словах. У них появляется собственный заказ на изменение: помочь мне сделать то, ради чего я уже готов действовать.</w:t>
      </w:r>
    </w:p>
    <w:p>
      <w:pPr>
        <w:pStyle w:val="Normal"/>
      </w:pPr>
      <w:r>
        <w:rPr/>
        <w:t xml:space="preserve">В открытых мастерских и сообществах из предыдущей главы есть интересные задачи и люди, с которыми хочется продолжать. Биологическая помощь входит в эту жизнь с другой стороны. Если участнику больше не приходится расходовать на внутреннее сопротивление почти всё, что у него есть, работа получает продолжение там, где прежде обрывалась.</w:t>
      </w:r>
    </w:p>
    <w:p>
      <w:pPr>
        <w:pStyle w:val="Normal"/>
      </w:pPr>
      <w:r>
        <w:rPr/>
        <w:t xml:space="preserve">Изменять собственное тело ради выбранной жизни — довольно старый человеческий замысел. Новым станет размер заказа и точность, с которой его смогут исполнить.</w:t>
      </w:r>
    </w:p>
    <w:p>
      <w:pPr>
        <w:pStyle w:val="Normal"/>
      </w:pPr>
      <w:r>
        <w:rPr/>
        <w:t xml:space="preserve">Весной 2025 года группа врачей и исследователей описала персонально разработанное редактирование генома младенца с тяжёлым наследственным нарушением обмена. За семь недель после первого введения стало возможно увеличить содержание белка в питании и вдвое сократить дозу одного из препаратов. В этот короткий период серьёзных нежелательных явлений не зарегистрировали.</w:t>
      </w:r>
      <w:hyperlink w:anchor="Note3" w:history="1">
        <w:r>
          <w:rPr>
            <w:rStyle w:val="Hyperlink"/>
          </w:rPr>
          <w:t xml:space="preserve">[3]</w:t>
        </w:r>
      </w:hyperlink>
      <w:r>
        <w:rPr/>
        <w:t xml:space="preserve"> За словами «индивидуальная технология» здесь стояли питание конкретного ребёнка и его зависимость от лечения.</w:t>
      </w:r>
    </w:p>
    <w:p>
      <w:pPr>
        <w:pStyle w:val="Normal"/>
      </w:pPr>
      <w:r>
        <w:rPr/>
        <w:t xml:space="preserve">Между таким вмешательством и заказом на собственный характер лежит большое исследовательское расстояние. Наследственные связи сложных психических состояний переплетены; найденная связь ещё не даёт точного способа изменить человека.</w:t>
      </w:r>
      <w:hyperlink w:anchor="Note4" w:history="1">
        <w:r>
          <w:rPr>
            <w:rStyle w:val="Hyperlink"/>
          </w:rPr>
          <w:t xml:space="preserve">[4]</w:t>
        </w:r>
      </w:hyperlink>
      <w:r>
        <w:rPr/>
        <w:t xml:space="preserve"> Перейдём это расстояние открыто, как предпосылку дальнейшей истории. Будем считать, что в будущем удалось получить достаточно безопасные и избирательные способы устойчиво менять некоторые способности, эмоциональные реакции и побуждения взрослого человека. Изменяют работу его организма, в том числе воздействуя на гены и их активность; передачу изменений потомкам здесь пока не предполагаем. Результаты достаточно предсказуемы, чтобы люди могли обоснованно выбирать между ними. Это дальний рубеж нашей ветви, а не описание сегодняшней клиники.</w:t>
      </w:r>
    </w:p>
    <w:p>
      <w:pPr>
        <w:pStyle w:val="Normal"/>
      </w:pPr>
      <w:r>
        <w:rPr/>
        <w:t xml:space="preserve">Помощь действительно облегчает длительное усилие. Позволяет возвращаться к сложному делу после неудачи. Уменьшает внутренний разлад, с которым прежде приходилось мириться. Человек выбирает изменение, получает нужный результат и узнаёт в нём собственный замысел.</w:t>
      </w:r>
    </w:p>
    <w:p>
      <w:pPr>
        <w:pStyle w:val="Normal"/>
      </w:pPr>
      <w:r>
        <w:rPr/>
        <w:t xml:space="preserve">Помощь требует продолжения: наблюдений, специалистов, способных разобраться в изменении, возможности заказать следующий шаг. За это будут платить. Клинике достаются постоянные клиенты, исследователям — данные и финансирование. Вокруг частного выигрыша возникает отрасль.</w:t>
      </w:r>
    </w:p>
    <w:p>
      <w:pPr>
        <w:pStyle w:val="Normal"/>
      </w:pPr>
      <w:r>
        <w:rPr/>
        <w:t xml:space="preserve">Первые хорошие результаты дадут отрасли сторонников сильнее любой рекламы. Пользователь, которому вернулась способность заниматься любимым делом, будет защищать доступ. Он станет спорить с запретом от собственного имени. Ограничение технологии для него означает вполне определённую потерю, а не сохранение абстрактной человеческой природы. Противники вмешательств встретят человека, которому есть что ответить.</w:t>
      </w:r>
    </w:p>
    <w:p>
      <w:pPr>
        <w:pStyle w:val="Normal"/>
      </w:pPr>
      <w:r>
        <w:rPr/>
        <w:t xml:space="preserve">Среди этих сторонников появятся и владельцы собственных клиник. Объединения оплатят специалистов и альтернативных поставщиков, чтобы продолжение помощи зависело от нескольких решений. В нашей ветви такая сеть заработает рядом с крупными операторами. Участники получат больше возможностей выбирать, у кого и ради чего изменяться.</w:t>
      </w:r>
    </w:p>
    <w:p>
      <w:pPr>
        <w:pStyle w:val="Normal"/>
      </w:pPr>
      <w:r>
        <w:rPr/>
        <w:t xml:space="preserve">Одна из границ проявится в самой удачной клинике. Заказчик хотел дольше удерживать внимание на своём деле. После изменения ему стало легче работать — это первая перемена. Но теперь сама работа может значить для него больше, а прежняя привязанность — меньше. Он иначе распределит время даже при тех же возможностях. Здесь меняется уже мера, по которой оценивают приобретённую способность.</w:t>
      </w:r>
    </w:p>
    <w:p>
      <w:pPr>
        <w:pStyle w:val="Normal"/>
      </w:pPr>
      <w:r>
        <w:rPr/>
        <w:t xml:space="preserve">На языке услуги оба результата удобно назвать удовлетворённостью. Клиент доволен, показатели хороши, оснований считать процедуру неудачной не видно. И всё-таки рядом стоят два разных достижения: стало легче осуществить намерение и стало легче хотеть иной жизни.</w:t>
      </w:r>
    </w:p>
    <w:p>
      <w:pPr>
        <w:pStyle w:val="Normal"/>
      </w:pPr>
      <w:r>
        <w:rPr/>
        <w:t xml:space="preserve">Во втором случае меняется и заказчик.</w:t>
      </w:r>
    </w:p>
    <w:p>
      <w:pPr>
        <w:pStyle w:val="Heading1"/>
      </w:pPr>
      <w:r>
        <w:rPr/>
        <w:t xml:space="preserve">Примечания</w:t>
      </w:r>
    </w:p>
    <w:p>
      <w:pPr>
        <w:pStyle w:val="Note"/>
      </w:pPr>
      <w:bookmarkStart w:id="1" w:name="Note1"/>
      <w:r>
        <w:rPr/>
        <w:t xml:space="preserve">1. </w:t>
      </w:r>
      <w:r>
        <w:rPr/>
        <w:t xml:space="preserve">Christian S. Hendershot et al. </w:t>
      </w:r>
      <w:hyperlink w:history="1" r:id="link1">
        <w:r>
          <w:rPr>
            <w:rStyle w:val="Hyperlink"/>
          </w:rPr>
          <w:t xml:space="preserve">Once-Weekly Semaglutide in Adults With Alcohol Use Disorder: A Randomized Clinical Trial</w:t>
        </w:r>
      </w:hyperlink>
      <w:r>
        <w:rPr/>
        <w:t xml:space="preserve">, </w:t>
      </w:r>
      <w:r>
        <w:rPr>
          <w:i/>
        </w:rPr>
        <w:t xml:space="preserve">JAMA Psychiatry</w:t>
      </w:r>
      <w:r>
        <w:rPr/>
        <w:t xml:space="preserve">, 2025. Девять недель, 48 участников, не обращавшихся за лечением. По сравнению с плацебо снизились влечение и количество алкоголя в день употребления; число дней употребления и среднее количество за календарный день значимо не изменились. Жизненные цели и долгосрочный результат это испытание не изучало.</w:t>
      </w:r>
      <w:bookmarkEnd w:id="1"/>
    </w:p>
    <w:p>
      <w:pPr>
        <w:pStyle w:val="Note"/>
      </w:pPr>
      <w:bookmarkStart w:id="2" w:name="Note2"/>
      <w:r>
        <w:rPr/>
        <w:t xml:space="preserve">2. </w:t>
      </w:r>
      <w:r>
        <w:rPr/>
        <w:t xml:space="preserve">Terry E. Robinson, Kent C. Berridge. </w:t>
      </w:r>
      <w:hyperlink w:history="1" r:id="link2">
        <w:r>
          <w:rPr>
            <w:rStyle w:val="Hyperlink"/>
          </w:rPr>
          <w:t xml:space="preserve">The Incentive-Sensitization Theory of Addiction: 30 Years On</w:t>
        </w:r>
      </w:hyperlink>
      <w:r>
        <w:rPr/>
        <w:t xml:space="preserve">, </w:t>
      </w:r>
      <w:r>
        <w:rPr>
          <w:i/>
        </w:rPr>
        <w:t xml:space="preserve">Annual Review of Psychology</w:t>
      </w:r>
      <w:r>
        <w:rPr/>
        <w:t xml:space="preserve">, 2025, § 2.2–2.3, с. 31–33. Различение побуждения к награде и удовольствия в исследованиях зависимости; всей мотивации понятие incentive salience не охватывает.</w:t>
      </w:r>
      <w:bookmarkEnd w:id="2"/>
    </w:p>
    <w:p>
      <w:pPr>
        <w:pStyle w:val="Note"/>
      </w:pPr>
      <w:bookmarkStart w:id="3" w:name="Note3"/>
      <w:r>
        <w:rPr/>
        <w:t xml:space="preserve">3. </w:t>
      </w:r>
      <w:r>
        <w:rPr/>
        <w:t xml:space="preserve">Kiran Musunuru et al. </w:t>
      </w:r>
      <w:hyperlink w:history="1" r:id="link3">
        <w:r>
          <w:rPr>
            <w:rStyle w:val="Hyperlink"/>
          </w:rPr>
          <w:t xml:space="preserve">Patient-Specific In Vivo Gene Editing to Treat a Rare Genetic Disease</w:t>
        </w:r>
      </w:hyperlink>
      <w:r>
        <w:rPr/>
        <w:t xml:space="preserve">, онлайн 15 мая 2025 года; </w:t>
      </w:r>
      <w:hyperlink w:history="1" r:id="link4">
        <w:r>
          <w:rPr>
            <w:rStyle w:val="Hyperlink"/>
          </w:rPr>
          <w:t xml:space="preserve">резюме публикации</w:t>
        </w:r>
      </w:hyperlink>
      <w:r>
        <w:rPr/>
        <w:t xml:space="preserve">. По этому резюме приведён результат одного пациента с тяжёлым нарушением обмена. Семь недель наблюдения не устанавливают долгосрочную безопасность.</w:t>
      </w:r>
      <w:bookmarkEnd w:id="3"/>
    </w:p>
    <w:p>
      <w:pPr>
        <w:pStyle w:val="Note"/>
      </w:pPr>
      <w:bookmarkStart w:id="4" w:name="Note4"/>
      <w:r>
        <w:rPr/>
        <w:t xml:space="preserve">4. </w:t>
      </w:r>
      <w:r>
        <w:rPr/>
        <w:t xml:space="preserve">Andrew D. Grotzinger et al. </w:t>
      </w:r>
      <w:hyperlink w:history="1" r:id="link5">
        <w:r>
          <w:rPr>
            <w:rStyle w:val="Hyperlink"/>
          </w:rPr>
          <w:t xml:space="preserve">Mapping the Genetic Landscape Across 14 Psychiatric Disorders</w:t>
        </w:r>
      </w:hyperlink>
      <w:r>
        <w:rPr/>
        <w:t xml:space="preserve">, онлайн 10 декабря 2025 года, </w:t>
      </w:r>
      <w:r>
        <w:rPr>
          <w:i/>
        </w:rPr>
        <w:t xml:space="preserve">Nature</w:t>
      </w:r>
      <w:r>
        <w:rPr/>
        <w:t xml:space="preserve">, 2026. Генетические ассоциации и общие биологические связи; способ изменять жизненные цели в работе не испытывался.</w:t>
      </w:r>
      <w:bookmarkEnd w:id="4"/>
    </w:p>
    <w:sectPr>
      <w:footerReference w:type="default" r:id="footer"/>
      <w:pgSz w:w="11906" w:h="16838"/>
      <w:pgMar w:top="1276" w:right="1361" w:bottom="1276" w:left="1361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PAGE">
      <w: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4"/>
        <w:lang w:val="ru-RU"/>
      </w:rPr>
    </w:rPrDefault>
  </w:docDefaults>
  <w:style w:type="paragraph" w:styleId="Normal" w:default="1">
    <w:name w:val="Normal"/>
    <w:pPr>
      <w:spacing w:before="0" w:after="120" w:line="312" w:lineRule="auto"/>
      <w:widowControl/>
    </w:pPr>
    <w:rPr>
      <w:sz w:val="24"/>
    </w:rPr>
  </w:style>
  <w:style w:type="paragraph" w:styleId="Title">
    <w:name w:val="Title"/>
    <w:pPr>
      <w:spacing w:before="0" w:after="240" w:line="312" w:lineRule="auto"/>
      <w:widowControl/>
      <w:keepNext/>
    </w:pPr>
    <w:rPr>
      <w:sz w:val="40"/>
      <w:b/>
    </w:rPr>
  </w:style>
  <w:style w:type="paragraph" w:styleId="Subtitle">
    <w:name w:val="Subtitle"/>
    <w:pPr>
      <w:spacing w:before="0" w:after="480" w:line="312" w:lineRule="auto"/>
      <w:widowControl/>
      <w:keepNext/>
    </w:pPr>
    <w:rPr>
      <w:sz w:val="20"/>
      <w:color w:val="666666"/>
    </w:rPr>
  </w:style>
  <w:style w:type="paragraph" w:styleId="Heading1">
    <w:name w:val="Heading1"/>
    <w:pPr>
      <w:spacing w:before="360" w:after="180" w:line="312" w:lineRule="auto"/>
      <w:widowControl/>
      <w:keepNext/>
      <w:outlineLvl w:val="0"/>
    </w:pPr>
    <w:rPr>
      <w:sz w:val="30"/>
      <w:b/>
    </w:rPr>
  </w:style>
  <w:style w:type="paragraph" w:styleId="Heading2">
    <w:name w:val="Heading2"/>
    <w:pPr>
      <w:spacing w:before="280" w:after="150" w:line="312" w:lineRule="auto"/>
      <w:widowControl/>
      <w:keepNext/>
      <w:outlineLvl w:val="1"/>
    </w:pPr>
    <w:rPr>
      <w:sz w:val="26"/>
      <w:b/>
    </w:rPr>
  </w:style>
  <w:style w:type="paragraph" w:styleId="Separator">
    <w:name w:val="Separator"/>
    <w:pPr>
      <w:spacing w:before="150" w:after="200" w:line="312" w:lineRule="auto"/>
      <w:widowControl/>
      <w:jc w:val="center"/>
    </w:pPr>
    <w:rPr>
      <w:sz w:val="24"/>
    </w:rPr>
  </w:style>
  <w:style w:type="character" w:styleId="Hyperlink">
    <w:name w:val="Hyperlink"/>
    <w:rPr>
      <w:color w:val="315D82"/>
      <w:u w:val="single"/>
    </w:rPr>
  </w:style>
  <w:style w:type="paragraph" w:styleId="Note">
    <w:name w:val="Note"/>
    <w:basedOn w:val="Normal"/>
    <w:rPr>
      <w:sz w:val="20"/>
    </w:rPr>
  </w:style>
</w:styles>
</file>

<file path=word/_rels/document.xml.rels><?xml version='1.0' encoding='utf-8'?>
<Relationships xmlns="http://schemas.openxmlformats.org/package/2006/relationships"><Relationship Id="styles" Type="http://schemas.openxmlformats.org/officeDocument/2006/relationships/styles" Target="styles.xml" /><Relationship Id="footer" Type="http://schemas.openxmlformats.org/officeDocument/2006/relationships/footer" Target="footer1.xml" /><Relationship Id="link1" Type="http://schemas.openxmlformats.org/officeDocument/2006/relationships/hyperlink" Target="https://jamanetwork.com/journals/jamapsychiatry/fullarticle/2829811" TargetMode="External" /><Relationship Id="link2" Type="http://schemas.openxmlformats.org/officeDocument/2006/relationships/hyperlink" Target="https://sites.lsa.umich.edu/berridge-lab/wp-content/uploads/sites/743/2025/06/2025-Robinson-Berridge-The-incentive-sensitization-theory-of-addiction-30-years-on-An-Rev-Psychol.pdf" TargetMode="External" /><Relationship Id="link3" Type="http://schemas.openxmlformats.org/officeDocument/2006/relationships/hyperlink" Target="https://www.nejm.org/doi/full/10.1056/NEJMoa2504747" TargetMode="External" /><Relationship Id="link4" Type="http://schemas.openxmlformats.org/officeDocument/2006/relationships/hyperlink" Target="https://pubmed.ncbi.nlm.nih.gov/40373211/" TargetMode="External" /><Relationship Id="link5" Type="http://schemas.openxmlformats.org/officeDocument/2006/relationships/hyperlink" Target="https://www.nature.com/articles/s41586-025-09820-3" TargetMode="External" /></Relationships>
</file>