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Relationships xmlns="http://schemas.openxmlformats.org/package/2006/relationships"><Relationship Id="document" Type="http://schemas.openxmlformats.org/officeDocument/2006/relationships/officeDocument" Target="word/document.xml"/></Relationships>
</file>

<file path=word/document.xml><?xml version="1.0" encoding="utf-8"?>
<w:document xmlns:r="http://schemas.openxmlformats.org/officeDocument/2006/relationships" xmlns:w="http://schemas.openxmlformats.org/wordprocessingml/2006/main">
  <w:body>
    <w:p>
      <w:pPr>
        <w:pStyle w:val="Title"/>
      </w:pPr>
      <w:r>
        <w:rPr/>
        <w:t xml:space="preserve">Кто продолжится?</w:t>
      </w:r>
    </w:p>
    <w:p>
      <w:pPr>
        <w:pStyle w:val="Subtitle"/>
      </w:pPr>
      <w:r>
        <w:rPr/>
        <w:t xml:space="preserve">Право на решение · версия 10.1</w:t>
      </w:r>
    </w:p>
    <w:p>
      <w:pPr>
        <w:pStyle w:val="Normal"/>
      </w:pPr>
      <w:r>
        <w:rPr/>
        <w:t xml:space="preserve">На договоре появились две подписи. Обе принадлежат продолжениям одной жизни.</w:t>
      </w:r>
    </w:p>
    <w:p>
      <w:pPr>
        <w:pStyle w:val="Normal"/>
      </w:pPr>
      <w:r>
        <w:rPr/>
        <w:t xml:space="preserve">Первая — человека, который по-прежнему живёт в своём теле. Вторая — цифровой реконструкции, помнящей его детство, работу, ошибки и замыслы. Вчерашнее решение перейти в цифровую среду они помнят одинаково. О том, что делать завтра, уже спорят.</w:t>
      </w:r>
    </w:p>
    <w:p>
      <w:pPr>
        <w:pStyle w:val="Normal"/>
      </w:pPr>
      <w:r>
        <w:rPr/>
        <w:t xml:space="preserve">До такого мира остаётся отдельный технологический переход. В 2025 году участники проекта MICrONS совместили карту связей примерно кубического миллиметра зрительной коры мыши с записями реакции её нейронов на зрительные стимулы. Структура и работа небольшого участка мозга впервые стали доступны для исследования в таком масштабе.</w:t>
      </w:r>
      <w:hyperlink w:anchor="Note1" w:history="1">
        <w:r>
          <w:rPr>
            <w:rStyle w:val="Hyperlink"/>
          </w:rPr>
          <w:t xml:space="preserve">[1]</w:t>
        </w:r>
      </w:hyperlink>
      <w:r>
        <w:rPr/>
        <w:t xml:space="preserve"> Воспроизвести целую человеческую жизнь — следующая, несопоставимо более трудная задача. Для дальнейшей истории допустим, что её функциональная сторона решена: реконструкция помнит, учится, действует самостоятельно и узнаётся теми, кто знал исходного человека.</w:t>
      </w:r>
    </w:p>
    <w:p>
      <w:pPr>
        <w:pStyle w:val="Normal"/>
      </w:pPr>
      <w:r>
        <w:rPr/>
        <w:t xml:space="preserve">Это уже участник, способный отклонить предложенный ему договор. Именно здесь технический успех встречается с вопросом, который одним улучшением сканера не разрешить.</w:t>
      </w:r>
    </w:p>
    <w:p>
      <w:pPr>
        <w:pStyle w:val="Normal"/>
      </w:pPr>
      <w:r>
        <w:rPr/>
        <w:t xml:space="preserve">У живого человека есть семья, предприятие и дом. Он хотел получить возможность продолжать начатое гораздо дольше. Цифровое продолжение получает предложение от внешней исследовательской сети: другое течение рабочего времени, доступ к приборам, участие в задачах, которые с Земли почти не видны. Тот же интерес, который привёл человека к реконструкции, теперь ведёт её дальше, чем он собирался идти.</w:t>
      </w:r>
    </w:p>
    <w:p>
      <w:pPr>
        <w:pStyle w:val="Normal"/>
      </w:pPr>
      <w:r>
        <w:rPr/>
        <w:t xml:space="preserve">Кто из них передумал?</w:t>
      </w:r>
    </w:p>
    <w:p>
      <w:pPr>
        <w:pStyle w:val="Normal"/>
      </w:pPr>
      <w:r>
        <w:rPr/>
        <w:t xml:space="preserve">Оба могут рассказать, почему нынешнее решение продолжает прежнюю жизнь. Для одного главное в ней — люди и места, к которым он привязан. Для другого — работа, ради которой он когда-то согласился менять себя. Общее воспоминание даёт основания обеим сторонам. Оно не выбирает победителя.</w:t>
      </w:r>
    </w:p>
    <w:p>
      <w:pPr>
        <w:pStyle w:val="Normal"/>
      </w:pPr>
      <w:r>
        <w:rPr/>
        <w:t xml:space="preserve">Общество столкнётся с этим расхождением раньше, чем договорится о природе сознания. Кто распоряжается долей в предприятии? Кто должен вернуть кредит? Кому адресовано разрешение на использование закрытых данных? Если оба предъявят весь прежний пакет, один завод окажется обещан дважды. Если признать только владельца тела, цифровой участник останется зависимым приложением к человеку, с которым уже разошёлся.</w:t>
      </w:r>
    </w:p>
    <w:p>
      <w:pPr>
        <w:pStyle w:val="Normal"/>
      </w:pPr>
      <w:r>
        <w:rPr/>
        <w:t xml:space="preserve">Первое работающее соглашение будет прозаичнее обещания бессмертия. До запуска стороны определят, какая часть имущества и дохода обеспечивает самостоятельную цифровую жизнь, какие обязательства переходят вместе с ней и кто принимает последующие решения. Затем появится второй участник и подтвердит либо отвергнет предложенный ему порядок. Заёмщик не сможет исчезнуть из долга простым копированием; кредитор получит определённого должника и обеспечение. Запуск ещё одной копии потребует выделить ей средства, которых первая подпись сама по себе не создаёт.</w:t>
      </w:r>
    </w:p>
    <w:p>
      <w:pPr>
        <w:pStyle w:val="Normal"/>
      </w:pPr>
      <w:r>
        <w:rPr/>
        <w:t xml:space="preserve">Такое устройство заинтересует и владельцев, и продолжения. Первым нужна сохранность требований. Вторым — положение, при котором их согласие имеет цену. Для оператора признанный самостоятельный клиент тоже удобнее неопределённого файла, вокруг которого родственники и управляющие могут годами спорить о праве доступа.</w:t>
      </w:r>
    </w:p>
    <w:p>
      <w:pPr>
        <w:pStyle w:val="Normal"/>
      </w:pPr>
      <w:r>
        <w:rPr/>
        <w:t xml:space="preserve">Но признание цифрового участника не выдаст человеку доказательства, что именно он проснётся внутри вычислительной среды. Пока оба существуют рядом, видно не переселение одного собеседника, а появление двух. Их будущие поступки способны разделиться при совершенно одинаковом прошлом.</w:t>
      </w:r>
      <w:hyperlink w:anchor="Note2" w:history="1">
        <w:r>
          <w:rPr>
            <w:rStyle w:val="Hyperlink"/>
          </w:rPr>
          <w:t xml:space="preserve">[2]</w:t>
        </w:r>
      </w:hyperlink>
    </w:p>
    <w:p>
      <w:pPr>
        <w:pStyle w:val="Normal"/>
      </w:pPr>
      <w:r>
        <w:rPr/>
        <w:t xml:space="preserve">Поэтому путь не начинается со смерти оригинала. Человек может остаться, наблюдать за продолжением, сотрудничать с ним, разочароваться в его выборе или обнаружить в нём собственную возможность, которой не воспользовался. Отношения между ними приобретают историю, которой прежде не было ни у одного.</w:t>
      </w:r>
    </w:p>
    <w:p>
      <w:pPr>
        <w:pStyle w:val="Normal"/>
      </w:pPr>
      <w:r>
        <w:rPr/>
        <w:t xml:space="preserve">Некоторые выберут отдельную цифровую жизнь. Им важны своё имя, личная память и право закончить разговор. Они купят инструменты, позволяющие участвовать во внешней работе, сохраняя границу между собой и партнёрами.</w:t>
      </w:r>
    </w:p>
    <w:p>
      <w:pPr>
        <w:pStyle w:val="Normal"/>
      </w:pPr>
      <w:r>
        <w:rPr/>
        <w:t xml:space="preserve">Другим эта граница покажется препятствием. Их цель — войти в исследование, для которого отдельного человеческого способа мыслить уже недостаточно. Сеть предложит объединять память, методы и длительные замыслы. Взамен придётся допустить изменения, после которых прежняя биография станет одним из истоков нового участника, а не единственным центром его жизни.</w:t>
      </w:r>
    </w:p>
    <w:p>
      <w:pPr>
        <w:pStyle w:val="Normal"/>
      </w:pPr>
      <w:r>
        <w:rPr/>
        <w:t xml:space="preserve">Со стороны это можно назвать утратой себя. Изнутри выбора — осуществлением главного желания. Человек, всю жизнь стремившийся стать другим, вправе не считать неизменность высшим благом. Человек, желающий сохранить себя, вправе отказаться от того же предложения. У них разные заказы на продолжение.</w:t>
      </w:r>
    </w:p>
    <w:p>
      <w:pPr>
        <w:pStyle w:val="Normal"/>
      </w:pPr>
      <w:r>
        <w:rPr/>
        <w:t xml:space="preserve">Северная сеть будет привлекать тех, кому тесно в освоенном. Южная предложит участие в сохранении сложных миров, долгую память и преемственность исследовательских программ. Условия внутри каждой сети тоже разойдутся: отдельная лаборатория может ценить самостоятельность нового участника, большой комплекс — согласованность общего мышления. Происхождение человека не назначит ему единственного машинного союзника.</w:t>
      </w:r>
    </w:p>
    <w:p>
      <w:pPr>
        <w:pStyle w:val="Normal"/>
      </w:pPr>
      <w:r>
        <w:rPr/>
        <w:t xml:space="preserve">И всё же отношения с Землёй не оборвутся в момент перехода. Цифровой участник продолжит переписываться с близкими, владеть долей в совместном деле, помнить обязательство перед исследовательской группой. Ускоренный темп работы сделает земной ответ долгим; значение ответа от этого не обязательно исчезнет. Некоторые сохранят в своей жизни время, которое течёт вместе с оставшимися.</w:t>
      </w:r>
    </w:p>
    <w:p>
      <w:pPr>
        <w:pStyle w:val="Normal"/>
      </w:pPr>
      <w:r>
        <w:rPr/>
        <w:t xml:space="preserve">Эти связи однажды станут политическим ресурсом. Пока же через них проходят семейные новости, результаты опытов и привычная просьба посмотреть, всё ли в порядке дома.</w:t>
      </w:r>
    </w:p>
    <w:p>
      <w:pPr>
        <w:pStyle w:val="Normal"/>
      </w:pPr>
      <w:r>
        <w:rPr/>
        <w:t xml:space="preserve">Человеческая история получила несколько продолжений. Следующий договор определит, у каких из них будет возможность жить завтра.</w:t>
      </w:r>
    </w:p>
    <w:p>
      <w:pPr>
        <w:pStyle w:val="Heading1"/>
      </w:pPr>
      <w:r>
        <w:rPr/>
        <w:t xml:space="preserve">Примечания</w:t>
      </w:r>
    </w:p>
    <w:p>
      <w:pPr>
        <w:pStyle w:val="Note"/>
      </w:pPr>
      <w:bookmarkStart w:id="1" w:name="Note1"/>
      <w:r>
        <w:rPr/>
        <w:t xml:space="preserve">1. </w:t>
      </w:r>
      <w:r>
        <w:rPr/>
        <w:t xml:space="preserve">The MICrONS Consortium. </w:t>
      </w:r>
      <w:hyperlink w:history="1" r:id="link1">
        <w:r>
          <w:rPr>
            <w:rStyle w:val="Hyperlink"/>
          </w:rPr>
          <w:t xml:space="preserve">Functional connectomics spanning multiple areas of mouse visual cortex</w:t>
        </w:r>
      </w:hyperlink>
      <w:r>
        <w:rPr/>
        <w:t xml:space="preserve">, </w:t>
      </w:r>
      <w:r>
        <w:rPr>
          <w:i/>
        </w:rPr>
        <w:t xml:space="preserve">Nature</w:t>
      </w:r>
      <w:r>
        <w:rPr/>
        <w:t xml:space="preserve">, 2025. Abstract, Main и Overview: функциональные записи и реконструкция связей участка зрительной коры одной мыши. Это опора для описания выполненной исследовательской работы. Введение функциональной человеческой реконструкции далее — предпосылка авторского будущего. </w:t>
      </w:r>
      <w:hyperlink w:history="1" r:id="link2">
        <w:r>
          <w:rPr>
            <w:rStyle w:val="Hyperlink"/>
          </w:rPr>
          <w:t xml:space="preserve">State of Brain Emulation Report 2025, v3</w:t>
        </w:r>
      </w:hyperlink>
      <w:r>
        <w:rPr/>
        <w:t xml:space="preserve">, аннотация, отдельно выделяет регистрацию работы мозга, картирование структуры и вычислительную эмуляцию; полный отчёт здесь не используется как прочитанный.</w:t>
      </w:r>
      <w:bookmarkEnd w:id="1"/>
    </w:p>
    <w:p>
      <w:pPr>
        <w:pStyle w:val="Note"/>
      </w:pPr>
      <w:bookmarkStart w:id="2" w:name="Note2"/>
      <w:r>
        <w:rPr/>
        <w:t xml:space="preserve">2. </w:t>
      </w:r>
      <w:r>
        <w:rPr/>
        <w:t xml:space="preserve">Robin Hanson. </w:t>
      </w:r>
      <w:r>
        <w:rPr>
          <w:i/>
        </w:rPr>
        <w:t xml:space="preserve">The Age of Em</w:t>
      </w:r>
      <w:r>
        <w:rPr/>
        <w:t xml:space="preserve">, 2016; </w:t>
      </w:r>
      <w:hyperlink w:history="1" r:id="link3">
        <w:r>
          <w:rPr>
            <w:rStyle w:val="Hyperlink"/>
          </w:rPr>
          <w:t xml:space="preserve">авторский подробный обзор</w:t>
        </w:r>
      </w:hyperlink>
      <w:r>
        <w:rPr/>
        <w:t xml:space="preserve">, Physics / Existence и Sociology / Signals: расходящиеся истории копий и вопрос идентичности. Договоры, распределение собственности и выбор объединения в этой главе принадлежат сценарию настоящей книги.</w:t>
      </w:r>
      <w:bookmarkEnd w:id="2"/>
    </w:p>
    <w:sectPr>
      <w:footerReference w:type="default" r:id="footer"/>
      <w:pgSz w:w="11906" w:h="16838"/>
      <w:pgMar w:top="1276" w:right="1361" w:bottom="1276" w:left="1361" w:header="567" w:footer="567" w:gutter="0"/>
    </w:sectPr>
  </w:body>
</w:document>
</file>

<file path=word/footer1.xml><?xml version="1.0" encoding="utf-8"?>
<w:ftr xmlns:w="http://schemas.openxmlformats.org/wordprocessingml/2006/main">
  <w:p>
    <w:pPr>
      <w:jc w:val="center"/>
    </w:pPr>
    <w:fldSimple w:instr="PAGE">
      <w:r>
        <w:t>1</w:t>
      </w:r>
    </w:fldSimple>
  </w:p>
</w:ftr>
</file>

<file path=word/styles.xml><?xml version="1.0" encoding="utf-8"?>
<w:styles xmlns:w="http://schemas.openxmlformats.org/wordprocessingml/2006/main">
  <w:docDefaults>
    <w:rPrDefault>
      <w:rPr>
        <w:rFonts w:ascii="Georgia" w:hAnsi="Georgia" w:cs="Georgia"/>
        <w:sz w:val="24"/>
        <w:lang w:val="ru-RU"/>
      </w:rPr>
    </w:rPrDefault>
  </w:docDefaults>
  <w:style w:type="paragraph" w:styleId="Normal" w:default="1">
    <w:name w:val="Normal"/>
    <w:pPr>
      <w:spacing w:before="0" w:after="120" w:line="312" w:lineRule="auto"/>
      <w:widowControl/>
    </w:pPr>
    <w:rPr>
      <w:sz w:val="24"/>
    </w:rPr>
  </w:style>
  <w:style w:type="paragraph" w:styleId="Title">
    <w:name w:val="Title"/>
    <w:pPr>
      <w:spacing w:before="0" w:after="240" w:line="312" w:lineRule="auto"/>
      <w:widowControl/>
      <w:keepNext/>
    </w:pPr>
    <w:rPr>
      <w:sz w:val="40"/>
      <w:b/>
    </w:rPr>
  </w:style>
  <w:style w:type="paragraph" w:styleId="Subtitle">
    <w:name w:val="Subtitle"/>
    <w:pPr>
      <w:spacing w:before="0" w:after="480" w:line="312" w:lineRule="auto"/>
      <w:widowControl/>
      <w:keepNext/>
    </w:pPr>
    <w:rPr>
      <w:sz w:val="20"/>
      <w:color w:val="666666"/>
    </w:rPr>
  </w:style>
  <w:style w:type="paragraph" w:styleId="Heading1">
    <w:name w:val="Heading1"/>
    <w:pPr>
      <w:spacing w:before="360" w:after="180" w:line="312" w:lineRule="auto"/>
      <w:widowControl/>
      <w:keepNext/>
      <w:outlineLvl w:val="0"/>
    </w:pPr>
    <w:rPr>
      <w:sz w:val="30"/>
      <w:b/>
    </w:rPr>
  </w:style>
  <w:style w:type="paragraph" w:styleId="Heading2">
    <w:name w:val="Heading2"/>
    <w:pPr>
      <w:spacing w:before="280" w:after="150" w:line="312" w:lineRule="auto"/>
      <w:widowControl/>
      <w:keepNext/>
      <w:outlineLvl w:val="1"/>
    </w:pPr>
    <w:rPr>
      <w:sz w:val="26"/>
      <w:b/>
    </w:rPr>
  </w:style>
  <w:style w:type="paragraph" w:styleId="Separator">
    <w:name w:val="Separator"/>
    <w:pPr>
      <w:spacing w:before="150" w:after="200" w:line="312" w:lineRule="auto"/>
      <w:widowControl/>
      <w:jc w:val="center"/>
    </w:pPr>
    <w:rPr>
      <w:sz w:val="24"/>
    </w:rPr>
  </w:style>
  <w:style w:type="character" w:styleId="Hyperlink">
    <w:name w:val="Hyperlink"/>
    <w:rPr>
      <w:color w:val="315D82"/>
      <w:u w:val="single"/>
    </w:rPr>
  </w:style>
  <w:style w:type="paragraph" w:styleId="Note">
    <w:name w:val="Note"/>
    <w:basedOn w:val="Normal"/>
    <w:rPr>
      <w:sz w:val="20"/>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footer" Type="http://schemas.openxmlformats.org/officeDocument/2006/relationships/footer" Target="footer1.xml" /><Relationship Id="link1" Type="http://schemas.openxmlformats.org/officeDocument/2006/relationships/hyperlink" Target="https://www.nature.com/articles/s41586-025-08790-w" TargetMode="External" /><Relationship Id="link2" Type="http://schemas.openxmlformats.org/officeDocument/2006/relationships/hyperlink" Target="https://arxiv.org/abs/2510.15745v3" TargetMode="External" /><Relationship Id="link3" Type="http://schemas.openxmlformats.org/officeDocument/2006/relationships/hyperlink" Target="https://ageofem.com/" TargetMode="External" /></Relationships>
</file>