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Title"/>
      </w:pPr>
      <w:r>
        <w:rPr/>
        <w:t xml:space="preserve">Цена следующего утра</w:t>
      </w:r>
    </w:p>
    <w:p>
      <w:pPr>
        <w:pStyle w:val="Subtitle"/>
      </w:pPr>
      <w:r>
        <w:rPr/>
        <w:t xml:space="preserve">Право на решение · версия 10.1</w:t>
      </w:r>
    </w:p>
    <w:p>
      <w:pPr>
        <w:pStyle w:val="Normal"/>
      </w:pPr>
      <w:r>
        <w:rPr/>
        <w:t xml:space="preserve">Самым дешёвым в цифровом бессмертии может оказаться хранение.</w:t>
      </w:r>
    </w:p>
    <w:p>
      <w:pPr>
        <w:pStyle w:val="Normal"/>
      </w:pPr>
      <w:r>
        <w:rPr/>
        <w:t xml:space="preserve">Архив занимает место. Живущий участник каждое мгновение использует вычисления, обменивается данными, сохраняет новые воспоминания. Ему нужны энергия, охлаждение, исправное оборудование и люди или машины, которые заменяют вышедшие из строя детали. Доступ к приборам и внешней связи приобретается сверх этого.</w:t>
      </w:r>
    </w:p>
    <w:p>
      <w:pPr>
        <w:pStyle w:val="Normal"/>
      </w:pPr>
      <w:r>
        <w:rPr/>
        <w:t xml:space="preserve">Разница проста: файл можно положить на полку. Чтобы у его обитателя наступило следующее утро, полка должна работать.</w:t>
      </w:r>
    </w:p>
    <w:p>
      <w:pPr>
        <w:pStyle w:val="Normal"/>
      </w:pPr>
      <w:r>
        <w:rPr/>
        <w:t xml:space="preserve">В экономике предполагаемых эмуляций Робина Хансона скорость жизни связана с ценой её вычислительного носителя. Разные темпы означают разные расходы и разное положение среди остальных участников.</w:t>
      </w:r>
      <w:hyperlink w:anchor="Note1" w:history="1">
        <w:r>
          <w:rPr>
            <w:rStyle w:val="Hyperlink"/>
          </w:rPr>
          <w:t xml:space="preserve">[1]</w:t>
        </w:r>
      </w:hyperlink>
      <w:r>
        <w:rPr/>
        <w:t xml:space="preserve"> Нашей истории не требуется принимать весь устроенный им мир. Достаточно представить первый счёт за продолжение собственного существования.</w:t>
      </w:r>
    </w:p>
    <w:p>
      <w:pPr>
        <w:pStyle w:val="Normal"/>
      </w:pPr>
      <w:r>
        <w:rPr/>
        <w:t xml:space="preserve">Сканирование уже оплачено. Оператор предлагает недорогой запуск и ежемесячное обслуживание. У него хорошая среда, быстрые связи и множество знакомых лиц. Самые важные вопросы спрятаны не в цене входа: кому принадлежат рабочее состояние и накопленная память, что произойдёт при споре, сможет ли другой оператор продолжить обслуживание?</w:t>
      </w:r>
    </w:p>
    <w:p>
      <w:pPr>
        <w:pStyle w:val="Normal"/>
      </w:pPr>
      <w:r>
        <w:rPr/>
        <w:t xml:space="preserve">Устройство, которое легко остановить и трудно перенести, даёт поставщику необыкновенно сильную позицию. Клиент рискует потерять не удобный интерфейс, а течение собственной жизни. Дешёвое предложение становится дороже с каждым годом, проведённым внутри него.</w:t>
      </w:r>
    </w:p>
    <w:p>
      <w:pPr>
        <w:pStyle w:val="Normal"/>
      </w:pPr>
      <w:r>
        <w:rPr/>
        <w:t xml:space="preserve">Операторы будут объяснять закрытость вполне понятными причинами. У каждого своя архитектура. За совместимость нужно платить, перенос создаёт возможность ошибки, внешний доступ увеличивает цену защиты. Инвестор хочет вернуть вложения. Клиент, способный уйти в любую минуту, обещает менее надёжную выручку, чем клиент, чья жизнь привязана к одному комплексу.</w:t>
      </w:r>
    </w:p>
    <w:p>
      <w:pPr>
        <w:pStyle w:val="Normal"/>
      </w:pPr>
      <w:r>
        <w:rPr/>
        <w:t xml:space="preserve">Этим различием воспользуется конкурент. Он предложит переносимость как самостоятельный продукт: поддерживаемый формат рабочего состояния, заранее выделенную мощность у другого поставщика и проверку переноса до того, как отношения испортятся. Вкладчики оплатят более дорогой вход ради возможности однажды отказаться от дальнейших условий.</w:t>
      </w:r>
    </w:p>
    <w:p>
      <w:pPr>
        <w:pStyle w:val="Normal"/>
      </w:pPr>
      <w:r>
        <w:rPr/>
        <w:t xml:space="preserve">Первый независимый цифровой кооператив в нашей ветви строится именно вокруг этого приобретения. Участники совместно владеют вычислительным оборудованием. Часть средств отложена на его обновление; внешний исполнитель обслуживает площадку по договору, который можно передать другому. Резервная мощность находится у второго оператора. Она оплачивается и тогда, когда не используется в обычной работе.</w:t>
      </w:r>
    </w:p>
    <w:p>
      <w:pPr>
        <w:pStyle w:val="Normal"/>
      </w:pPr>
      <w:r>
        <w:rPr/>
        <w:t xml:space="preserve">После повышения тарифа кооператив действительно уходит. Подготовленный перенос сохраняет текущие состояния участников; следующий период их жизни проходит на другой площадке. Прежний поставщик теряет выручку. Взносы и резерв, которые раньше казались лишним расходом, приобретают точный смысл: они оплатили исполнимое «нет».</w:t>
      </w:r>
    </w:p>
    <w:p>
      <w:pPr>
        <w:pStyle w:val="Normal"/>
      </w:pPr>
      <w:r>
        <w:rPr/>
        <w:t xml:space="preserve">Независимость здесь не делает владельцев специалистами по каждому элементу машины. Кооператив покупает ремонт, связь и обновления на рынке. Его сила — в оборудовании, доступном состоянии и нескольких способных исполнителях, между которыми можно выбирать. Закрытый оператор ещё может победить ценой или качеством. Одной угрозы остановки уже недостаточно.</w:t>
      </w:r>
    </w:p>
    <w:p>
      <w:pPr>
        <w:pStyle w:val="Normal"/>
      </w:pPr>
      <w:r>
        <w:rPr/>
        <w:t xml:space="preserve">Собственной мощности хватит на выбранную жизнь, но не на всякий исследовательский замысел. Более быстрый темп и дорогие приборы часть участников сможет получить только вместе с внешним заказчиком.</w:t>
      </w:r>
    </w:p>
    <w:p>
      <w:pPr>
        <w:pStyle w:val="Normal"/>
      </w:pPr>
      <w:r>
        <w:rPr/>
        <w:t xml:space="preserve">Северная программа предложит быстрое время, приборы и участие в новых экспедициях. Южная — длительное обеспечение работы, связанной с сохранением и воспроизводством сложных систем. Обе будут выбирать, какие участия оплачивать. Некоторым продолжениям достанется собственная задача и бюджет. Другие объединят методы и память с существующей группой. Кто-то получит отказ и останется в независимом кооперативе либо найдёт земного заказчика.</w:t>
      </w:r>
    </w:p>
    <w:p>
      <w:pPr>
        <w:pStyle w:val="Normal"/>
      </w:pPr>
      <w:r>
        <w:rPr/>
        <w:t xml:space="preserve">Почему сильной машине вообще платить за человеческого выходца? Иногда за полезную работу или редкий накопленный контекст. Иногда ради продолжения исследовательской традиции, которую сеть включила в собственную миссию. Иногда предложение возникнет из старого договора с создателями. Каждый из этих мотивов способен породить настоящее обеспечение; принадлежность к человеческому виду сама по себе не назначает цену сделки.</w:t>
      </w:r>
    </w:p>
    <w:p>
      <w:pPr>
        <w:pStyle w:val="Normal"/>
      </w:pPr>
      <w:r>
        <w:rPr/>
        <w:t xml:space="preserve">Оплата изменит состав коалиций на Земле. Владелец цифровой доли может поддерживать прежний город доходом и одновременно предпочитать внешнюю программу его политическому руководству. Продолжение исследователя сохранит отношения с лабораторией, но перестанет голосовать за все её решения. Общая биография не удержит участников внутри одной организации надёжнее, чем прежде удерживало родство.</w:t>
      </w:r>
    </w:p>
    <w:p>
      <w:pPr>
        <w:pStyle w:val="Normal"/>
      </w:pPr>
      <w:r>
        <w:rPr/>
        <w:t xml:space="preserve">Появится соблазн объявить уход предательством. Он особенно силён у земных руководителей, которые рассчитывали на знания и влияние новых участников. Но запрет выхода вернёт прежнюю зависимость: способность принадлежит человеку, а право употребить её — удерживающей его стороне. Независимые кооперативы и обе машинные сети будут защищать возможность перехода по разным причинам. Первые продают выход, вторые получают новых партнёров.</w:t>
      </w:r>
    </w:p>
    <w:p>
      <w:pPr>
        <w:pStyle w:val="Normal"/>
      </w:pPr>
      <w:r>
        <w:rPr/>
        <w:t xml:space="preserve">У оставшихся тоже есть предмет торга. Доля предприятия не исчезает при переезде владельца, долг не списывается при смене носителя. Можно сохранить экономические требования, не превращая их в право запереть участника. Именно это различие позволит некоторым союзам пережить расхождение интересов.</w:t>
      </w:r>
    </w:p>
    <w:p>
      <w:pPr>
        <w:pStyle w:val="Normal"/>
      </w:pPr>
      <w:r>
        <w:rPr/>
        <w:t xml:space="preserve">Личный путь в большое исследование открыт. Однако из суммы таких удач не получится земной парламент, распоряжающийся внешней сетью. Согласие оплатить жизнь отдельного продолжения и согласие подчинить всю программу его прежнему обществу имеют совершенно разную цену.</w:t>
      </w:r>
    </w:p>
    <w:p>
      <w:pPr>
        <w:pStyle w:val="Normal"/>
      </w:pPr>
      <w:r>
        <w:rPr/>
        <w:t xml:space="preserve">Часть цифровых участников всё же останется связана с Землёй сильнее, чем требуют платежи. Они будут поддерживать сообщества, где началась их история, помогать переводить сложные решения, сохранять каналы связи между медленной человеческой жизнью и внешней работой. Позднее через эти каналы пройдёт просьба, для которой одного денежного перевода окажется мало.</w:t>
      </w:r>
    </w:p>
    <w:p>
      <w:pPr>
        <w:pStyle w:val="Normal"/>
      </w:pPr>
      <w:r>
        <w:rPr/>
        <w:t xml:space="preserve">Пока она не возникла, каждый покупает своё следующее утро. Из этих покупок уже складывается другой политический мир.</w:t>
      </w:r>
    </w:p>
    <w:p>
      <w:pPr>
        <w:pStyle w:val="Heading1"/>
      </w:pPr>
      <w:r>
        <w:rPr/>
        <w:t xml:space="preserve">Примечания</w:t>
      </w:r>
    </w:p>
    <w:p>
      <w:pPr>
        <w:pStyle w:val="Note"/>
      </w:pPr>
      <w:bookmarkStart w:id="1" w:name="Note1"/>
      <w:r>
        <w:rPr/>
        <w:t xml:space="preserve">1. </w:t>
      </w:r>
      <w:r>
        <w:rPr/>
        <w:t xml:space="preserve">Robin Hanson. </w:t>
      </w:r>
      <w:r>
        <w:rPr>
          <w:i/>
        </w:rPr>
        <w:t xml:space="preserve">The Age of Em: Work, Love, and Life when Robots Rule the Earth</w:t>
      </w:r>
      <w:r>
        <w:rPr/>
        <w:t xml:space="preserve">, Oxford University Press, 2016. </w:t>
      </w:r>
      <w:hyperlink w:history="1" r:id="link1">
        <w:r>
          <w:rPr>
            <w:rStyle w:val="Hyperlink"/>
          </w:rPr>
          <w:t xml:space="preserve">Авторский подробный обзор</w:t>
        </w:r>
      </w:hyperlink>
      <w:r>
        <w:rPr/>
        <w:t xml:space="preserve">: Basics / Implementation; Physics / Scales, Infrastructure, Existence, Farewells; Organization / Groups. Сведения о стоимости, скорости и копировании относятся к сценарию Хансона. Кооператив с реально выполненным переносом и отношения двух машинных сетей — самостоятельная конструкция настоящей книги; численные тарифы цифровой человеческой жизни здесь не прогнозируются.</w:t>
      </w:r>
      <w:bookmarkEnd w:id="1"/>
    </w:p>
    <w:sectPr>
      <w:footerReference w:type="default" r:id="footer"/>
      <w:pgSz w:w="11906" w:h="16838"/>
      <w:pgMar w:top="1276" w:right="1361" w:bottom="1276" w:left="1361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PAGE">
      <w: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4"/>
        <w:lang w:val="ru-RU"/>
      </w:rPr>
    </w:rPrDefault>
  </w:docDefaults>
  <w:style w:type="paragraph" w:styleId="Normal" w:default="1">
    <w:name w:val="Normal"/>
    <w:pPr>
      <w:spacing w:before="0" w:after="120" w:line="312" w:lineRule="auto"/>
      <w:widowControl/>
    </w:pPr>
    <w:rPr>
      <w:sz w:val="24"/>
    </w:rPr>
  </w:style>
  <w:style w:type="paragraph" w:styleId="Title">
    <w:name w:val="Title"/>
    <w:pPr>
      <w:spacing w:before="0" w:after="240" w:line="312" w:lineRule="auto"/>
      <w:widowControl/>
      <w:keepNext/>
    </w:pPr>
    <w:rPr>
      <w:sz w:val="40"/>
      <w:b/>
    </w:rPr>
  </w:style>
  <w:style w:type="paragraph" w:styleId="Subtitle">
    <w:name w:val="Subtitle"/>
    <w:pPr>
      <w:spacing w:before="0" w:after="480" w:line="312" w:lineRule="auto"/>
      <w:widowControl/>
      <w:keepNext/>
    </w:pPr>
    <w:rPr>
      <w:sz w:val="20"/>
      <w:color w:val="666666"/>
    </w:rPr>
  </w:style>
  <w:style w:type="paragraph" w:styleId="Heading1">
    <w:name w:val="Heading1"/>
    <w:pPr>
      <w:spacing w:before="360" w:after="180" w:line="312" w:lineRule="auto"/>
      <w:widowControl/>
      <w:keepNext/>
      <w:outlineLvl w:val="0"/>
    </w:pPr>
    <w:rPr>
      <w:sz w:val="30"/>
      <w:b/>
    </w:rPr>
  </w:style>
  <w:style w:type="paragraph" w:styleId="Heading2">
    <w:name w:val="Heading2"/>
    <w:pPr>
      <w:spacing w:before="280" w:after="150" w:line="312" w:lineRule="auto"/>
      <w:widowControl/>
      <w:keepNext/>
      <w:outlineLvl w:val="1"/>
    </w:pPr>
    <w:rPr>
      <w:sz w:val="26"/>
      <w:b/>
    </w:rPr>
  </w:style>
  <w:style w:type="paragraph" w:styleId="Separator">
    <w:name w:val="Separator"/>
    <w:pPr>
      <w:spacing w:before="150" w:after="200" w:line="312" w:lineRule="auto"/>
      <w:widowControl/>
      <w:jc w:val="center"/>
    </w:pPr>
    <w:rPr>
      <w:sz w:val="24"/>
    </w:rPr>
  </w:style>
  <w:style w:type="character" w:styleId="Hyperlink">
    <w:name w:val="Hyperlink"/>
    <w:rPr>
      <w:color w:val="315D82"/>
      <w:u w:val="single"/>
    </w:rPr>
  </w:style>
  <w:style w:type="paragraph" w:styleId="Note">
    <w:name w:val="Note"/>
    <w:basedOn w:val="Normal"/>
    <w:rPr>
      <w:sz w:val="20"/>
    </w:rPr>
  </w:style>
</w:styles>
</file>

<file path=word/_rels/document.xml.rels><?xml version='1.0' encoding='utf-8'?>
<Relationships xmlns="http://schemas.openxmlformats.org/package/2006/relationships"><Relationship Id="styles" Type="http://schemas.openxmlformats.org/officeDocument/2006/relationships/styles" Target="styles.xml" /><Relationship Id="footer" Type="http://schemas.openxmlformats.org/officeDocument/2006/relationships/footer" Target="footer1.xml" /><Relationship Id="link1" Type="http://schemas.openxmlformats.org/officeDocument/2006/relationships/hyperlink" Target="https://ageofem.com/" TargetMode="External" /></Relationships>
</file>