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Открытые ворота</w:t>
      </w:r>
    </w:p>
    <w:p>
      <w:pPr>
        <w:pStyle w:val="Subtitle"/>
      </w:pPr>
      <w:r>
        <w:rPr/>
        <w:t xml:space="preserve">Право на решение · версия 10.1</w:t>
      </w:r>
    </w:p>
    <w:p>
      <w:pPr>
        <w:pStyle w:val="Normal"/>
      </w:pPr>
      <w:r>
        <w:rPr/>
        <w:t xml:space="preserve">Летом 1904 года Степан Тимошенко приехал в Мюнхен учиться у Августа Фёппля. Запись студентов уже закончилась. По его воспоминаниям, случайно встреченный в политехникуме человек помог ему получить разрешение посещать лекции и лабораторию. Лишь потом Тимошенко узнал, что разговаривал с ректором фон Диком.</w:t>
      </w:r>
    </w:p>
    <w:p>
      <w:pPr>
        <w:pStyle w:val="Normal"/>
      </w:pPr>
      <w:r>
        <w:rPr/>
        <w:t xml:space="preserve">Оборудование лаборатории было устарелым; в России Тимошенко работал и с лучшими машинами. Но здесь каждая была приобретена для определённого исследования. Множество испытаний на сжатие Тимошенко проводил и прежде. Теперь, наблюдая опыты Фёппля, он увидел вопрос там, где раньше выполнял привычную процедуру: как вообще распределяется давление по граням образца и что именно позволяет заключить его разрушение? Приобретением поездки стал способ спрашивать, с которым можно было вернуться к собственной работе.</w:t>
      </w:r>
      <w:hyperlink w:anchor="Note1" w:history="1">
        <w:r>
          <w:rPr>
            <w:rStyle w:val="Hyperlink"/>
          </w:rPr>
          <w:t xml:space="preserve">[1]</w:t>
        </w:r>
      </w:hyperlink>
    </w:p>
    <w:p>
      <w:pPr>
        <w:pStyle w:val="Normal"/>
      </w:pPr>
      <w:r>
        <w:rPr/>
        <w:t xml:space="preserve">Ректор однажды открыл дверь незнакомому приезжему. В устройстве будущего, к которому мы подошли, такую дверь нужно открывать без удачной встречи в коридоре.</w:t>
      </w:r>
    </w:p>
    <w:p>
      <w:pPr>
        <w:pStyle w:val="Normal"/>
      </w:pPr>
      <w:r>
        <w:rPr/>
        <w:t xml:space="preserve">Вернёмся к территориям, сохранившим доход и часть собственной производственной базы. Их ремонтные предприятия по-прежнему зависят от крупных внешних поставщиков. Машины служат долго, но для замены небольшого износившегося узла поставщик предлагает дорогой комплект целиком. Ему удобно поддерживать ограниченный набор изделий. Покупателю приходится оплачивать замену того, что ещё работает.</w:t>
      </w:r>
    </w:p>
    <w:p>
      <w:pPr>
        <w:pStyle w:val="Normal"/>
      </w:pPr>
      <w:r>
        <w:rPr/>
        <w:t xml:space="preserve">Пусть независимая человеческая команда с машинными помощниками предложит сменный узел для таких насосов. Идея выросла из ремонтной работы: сохранить исправный корпус, заменить изношенную часть, сократить простой. Для покупателя ценность понятна. Для нового поставщика вход закрывает испытание: никто не установит непроверенную деталь в действующую сеть только потому, что расчёт выглядит убедительно.</w:t>
      </w:r>
    </w:p>
    <w:p>
      <w:pPr>
        <w:pStyle w:val="Normal"/>
      </w:pPr>
      <w:r>
        <w:rPr/>
        <w:t xml:space="preserve">У команды есть проект и знание того, как насосы ломаются в эксплуатации. Нет своей испытательной установки, признанного заключения и денег на несколько неудачных образцов. Каждое из этих приобретений по отдельности возможно. Вместе они образуют круг: капитал ждёт заказа, заказ — испытания, а испытание нужно оплатить до появления капитала.</w:t>
      </w:r>
    </w:p>
    <w:p>
      <w:pPr>
        <w:pStyle w:val="Normal"/>
      </w:pPr>
      <w:r>
        <w:rPr/>
        <w:t xml:space="preserve">Территориальные покупатели заинтересованы в выходе из этого круга. Их объединение заказывает часть мощности независимой лаборатории на несколько лет. Государственный фонд добавляет первоначальное оснащение: для него ценность имеет уменьшение зависимости от единственного поставщика. Производители небольших партий оплачивают другие часы и получают доступ к дорогому оборудованию. Управляет площадкой отдельный оператор, который зарабатывает на испытаниях и обслуживании.</w:t>
      </w:r>
    </w:p>
    <w:p>
      <w:pPr>
        <w:pStyle w:val="Normal"/>
      </w:pPr>
      <w:r>
        <w:rPr/>
        <w:t xml:space="preserve">Вместе они покупают не только установку. В договоре остаётся время для первого испытания неизвестной команды. Эту возможность финансируют те же покупатели альтернатив: иначе их площадка быстро заполнилась бы удобными повторными заказами известных заводов. Для допуска к первому опыту достаточно подготовить образец и безопасную программу ограниченной проверки. Длинной истории поставок, которую новичок ещё не мог приобрести, здесь не требуют.</w:t>
      </w:r>
    </w:p>
    <w:p>
      <w:pPr>
        <w:pStyle w:val="Normal"/>
      </w:pPr>
      <w:r>
        <w:rPr/>
        <w:t xml:space="preserve">Работающая рядом вторая лаборатория использует совместимые требования и принимает результаты первой. Часть начальных расходов у обеих выше, чем у единой площадки: приходится содержать второй комплект нужного оборудования и согласовывать измерения. За это платят покупатели, которым нужен выбор исполнителя. Стандарт описывает, какой результат следует подтвердить, а не у кого обязательно купить испытание.</w:t>
      </w:r>
    </w:p>
    <w:p>
      <w:pPr>
        <w:pStyle w:val="Normal"/>
      </w:pPr>
      <w:r>
        <w:rPr/>
        <w:t xml:space="preserve">Теперь команда получает ограниченную проверку. Первый образец её узла не выдерживает одного из согласованных режимов. Отчёт остаётся у разработчиков; с ним можно работать в другом месте. Машинные помощники находят варианты изменения конструкции, но сами разработчики решают, какой дефект устранять и какой срок службы имеет смысл обещать покупателю. Из ремонтного наблюдения постепенно получается изделие, которое можно поставить в чужую систему.</w:t>
      </w:r>
    </w:p>
    <w:p>
      <w:pPr>
        <w:pStyle w:val="Normal"/>
      </w:pPr>
      <w:r>
        <w:rPr/>
        <w:t xml:space="preserve">Следующий образец проходит испытание. Ремонтное предприятие с другой территории, не входящее в число учредителей лаборатории, заказывает небольшую партию. Оно платит за сокращение собственного простоя. Его заказ позволяет привлечь капитал под производство; финансирующая сторона получает долю будущего дохода, команда сохраняет право развивать конструкцию и продавать её другим покупателям. У нового предприятия появляются поставка, выручка и следующий заказ.</w:t>
      </w:r>
    </w:p>
    <w:p>
      <w:pPr>
        <w:pStyle w:val="Normal"/>
      </w:pPr>
      <w:r>
        <w:rPr/>
        <w:t xml:space="preserve">Открытость здесь уже имеет адрес: работающий насос, который прежде пришлось бы заменить дороже.</w:t>
      </w:r>
    </w:p>
    <w:p>
      <w:pPr>
        <w:pStyle w:val="Normal"/>
      </w:pPr>
      <w:r>
        <w:rPr/>
        <w:t xml:space="preserve">Затем один из первоначальных плательщиков меняет интерес. Крупный производитель малых серий заключает эксклюзивное соглашение с внешней платформой. Ему больше не нужен местный рынок независимых разработок. Он прекращает финансирование после окончания своего договора и предлагает закрыть приём новых команд: постоянные клиенты принесут оператору больше денег при меньших хлопотах.</w:t>
      </w:r>
    </w:p>
    <w:p>
      <w:pPr>
        <w:pStyle w:val="Normal"/>
      </w:pPr>
      <w:r>
        <w:rPr/>
        <w:t xml:space="preserve">Этот довод силён. Пустое время первого испытания обходится дорого. Другие участники могли бы согласиться, забрать большую выплату и превратить площадку в обычный сервис для знакомых заказчиков. Но ремонтным предприятиям уже выгодно появление альтернативных деталей. Второй лаборатории нужны новые клиенты. Территориальному фонду — несколько поставщиков, между которыми можно выбирать. Их интерес пережил интерес ушедшего партнёра.</w:t>
      </w:r>
    </w:p>
    <w:p>
      <w:pPr>
        <w:pStyle w:val="Normal"/>
      </w:pPr>
      <w:r>
        <w:rPr/>
        <w:t xml:space="preserve">Оставшиеся покупатели принимают более высокий платёж за резерв первых испытаний; часть покрытия даёт выручка лаборатории от выросших предприятий. Оператор продолжает получать оплату за содержание установки. Уходящий участник может перестать покупать испытания, но в заключённом соглашении у него нет права отменить чужие оплаченные часы или запретить признание результатов второй площадки. Открытый вход продолжается — с меньшим резервом, который теперь оплачивает более узкая коалиция.</w:t>
      </w:r>
    </w:p>
    <w:p>
      <w:pPr>
        <w:pStyle w:val="Normal"/>
      </w:pPr>
      <w:r>
        <w:rPr/>
        <w:t xml:space="preserve">Для нашей команды этот спор заканчивается не возвращением к нулю. Выпущенная деталь работает, покупатель платит, документы позволяют продолжить испытания на второй площадке. Если первая повысит цену слишком сильно, у команды есть исполнимый ответ. Именно наличие такого клиента удерживает часть операторов от попытки забрать себе весь выигрыш новичка.</w:t>
      </w:r>
    </w:p>
    <w:p>
      <w:pPr>
        <w:pStyle w:val="Normal"/>
      </w:pPr>
      <w:r>
        <w:rPr/>
        <w:t xml:space="preserve">У этого устройства есть родственники среди давно изученных способов совместного управления. Элинор Остром связывала устойчивость общих ресурсов с определёнными границами, участием затронутых сторон в изменении правил, подотчётным наблюдением и доступным разрешением споров. Её исследования не давали одного лучшего собственника для всех случаев.</w:t>
      </w:r>
      <w:hyperlink w:anchor="Note2" w:history="1">
        <w:r>
          <w:rPr>
            <w:rStyle w:val="Hyperlink"/>
          </w:rPr>
          <w:t xml:space="preserve">[2]</w:t>
        </w:r>
      </w:hyperlink>
      <w:r>
        <w:rPr/>
        <w:t xml:space="preserve"> В нашей конструкции к этим отношениям добавлена дорогая материальная возможность уйти со своим результатом на другую площадку.</w:t>
      </w:r>
    </w:p>
    <w:p>
      <w:pPr>
        <w:pStyle w:val="Normal"/>
      </w:pPr>
      <w:r>
        <w:rPr/>
        <w:t xml:space="preserve">Смена одного интереса оказалась переносимой, потому что остальные участники сохранили и причину платить, и средство действовать. Если все покупатели предпочтут вернуться к единственному поставщику и забрать деньги, лабораторное соглашение не создаст спрос вместо них. До этой границы, однако, лежит широкий мир действительных переходов: меняются директора и партии, один участник уходит, другой приходит, цена доступа пересматривается, а новые предприятия продолжают возникать.</w:t>
      </w:r>
    </w:p>
    <w:p>
      <w:pPr>
        <w:pStyle w:val="Normal"/>
      </w:pPr>
      <w:r>
        <w:rPr/>
        <w:t xml:space="preserve">Открытые площадки дают коалиции то, ради чего она их создала. Появляются изделия, которые прежде не доходили до проверки, покупатели платят меньше за некоторые замены, разработчики приобретают собственные доходы. Более сильные человеческие и гибридные коллективы строят следующие лаборатории и становятся покупателями чужих решений. Первые расходы вернулись не одной кассе, зато у нескольких сторон появились основания поддерживать общий порядок.</w:t>
      </w:r>
    </w:p>
    <w:p>
      <w:pPr>
        <w:pStyle w:val="Normal"/>
      </w:pPr>
      <w:r>
        <w:rPr/>
        <w:t xml:space="preserve">Ворота открыты. Чтобы провести через них следующий проект, уже не обязательно знать ректора.</w:t>
      </w:r>
    </w:p>
    <w:p>
      <w:pPr>
        <w:pStyle w:val="Normal"/>
      </w:pPr>
      <w:r>
        <w:rPr/>
        <w:t xml:space="preserve">Теперь важнее, кто быстрее подготовит всё необходимое для входа.</w:t>
      </w:r>
    </w:p>
    <w:p>
      <w:pPr>
        <w:pStyle w:val="Heading1"/>
      </w:pPr>
      <w:r>
        <w:rPr/>
        <w:t xml:space="preserve">Примечания</w:t>
      </w:r>
    </w:p>
    <w:p>
      <w:pPr>
        <w:pStyle w:val="Note"/>
      </w:pPr>
      <w:bookmarkStart w:id="1" w:name="Note1"/>
      <w:r>
        <w:rPr/>
        <w:t xml:space="preserve">1. </w:t>
      </w:r>
      <w:r>
        <w:rPr/>
        <w:t xml:space="preserve">С. П. Тимошенко. </w:t>
      </w:r>
      <w:r>
        <w:rPr>
          <w:i/>
        </w:rPr>
        <w:t xml:space="preserve">Воспоминания</w:t>
      </w:r>
      <w:r>
        <w:rPr/>
        <w:t xml:space="preserve">, раздел «Поездка в Европу летом 1904 года»: поступление вольнослушателем в Мюнхене, лаборатория Фёппля и опыты сжатия цементных образцов. Изложение по воспоминаниям Тимошенко.</w:t>
      </w:r>
      <w:bookmarkEnd w:id="1"/>
    </w:p>
    <w:p>
      <w:pPr>
        <w:pStyle w:val="Note"/>
      </w:pPr>
      <w:bookmarkStart w:id="2" w:name="Note2"/>
      <w:r>
        <w:rPr/>
        <w:t xml:space="preserve">2. </w:t>
      </w:r>
      <w:r>
        <w:rPr/>
        <w:t xml:space="preserve">Elinor Ostrom. </w:t>
      </w:r>
      <w:hyperlink w:history="1" r:id="link1">
        <w:r>
          <w:rPr>
            <w:i/>
            <w:rStyle w:val="Hyperlink"/>
          </w:rPr>
          <w:t xml:space="preserve">Beyond Markets and States: Polycentric Governance of Complex Economic Systems</w:t>
        </w:r>
      </w:hyperlink>
      <w:r>
        <w:rPr/>
        <w:t xml:space="preserve">, Нобелевская лекция, 2009, разделы о принципах управления общими ресурсами и заключение. Лаборатории, насосный узел, заказы и смена плательщика в этой главе — авторский сценарий; опыт Остром не является испытанием этой конструкции.</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www.nobelprize.org/uploads/2018/06/ostrom_lecture.pdf" TargetMode="External" /></Relationships>
</file>