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Фабрика следующих фабрик</w:t>
      </w:r>
    </w:p>
    <w:p>
      <w:pPr>
        <w:pStyle w:val="Subtitle"/>
      </w:pPr>
      <w:r>
        <w:rPr/>
        <w:t xml:space="preserve">Право на решение · версия 10.1</w:t>
      </w:r>
    </w:p>
    <w:p>
      <w:pPr>
        <w:pStyle w:val="Normal"/>
      </w:pPr>
      <w:r>
        <w:rPr/>
        <w:t xml:space="preserve">У первой местной фабрики есть два покупателя. Один ждёт энергию для своего производства. Второй — сама фабрика, которой предстоит изготовлять средства получения этой энергии.</w:t>
      </w:r>
    </w:p>
    <w:p>
      <w:pPr>
        <w:pStyle w:val="Normal"/>
      </w:pPr>
      <w:r>
        <w:rPr/>
        <w:t xml:space="preserve">В красивой схеме они помогают друг другу расти. В календаре первая строка пока пуста.</w:t>
      </w:r>
    </w:p>
    <w:p>
      <w:pPr>
        <w:pStyle w:val="Normal"/>
      </w:pPr>
      <w:r>
        <w:rPr/>
        <w:t xml:space="preserve">Начальную установку приходится привезти. Она должна снабжать покупателя, саму фабрику и изготовление будущего расширения. Износ тоже начинается с первого периода работы. Чем больше энергии уходит на производство новых средств, тем меньше остаётся на текущий заказ. Если мощности не хватает, недостающее снова доставляют с Земли.</w:t>
      </w:r>
    </w:p>
    <w:p>
      <w:pPr>
        <w:pStyle w:val="Normal"/>
      </w:pPr>
      <w:r>
        <w:rPr/>
        <w:t xml:space="preserve">Проверим две заданные стратегии на одном заказе. Покупателю в начале нужны десять мегаватт полезной мощности; затем потребность растёт на пять процентов за период. Сравнение идёт на пятнадцать лет. Один поставщик привозит готовую энергетику с Земли. Второй завозит начальный комплекс и фабрику, после чего изготовляет часть новых средств на месте, продолжая ввозить критические компоненты. Цены и характеристики этого опыта условны; полный расчёт открыт отдельно.</w:t>
      </w:r>
      <w:hyperlink w:anchor="Note1" w:history="1">
        <w:r>
          <w:rPr>
            <w:rStyle w:val="Hyperlink"/>
          </w:rPr>
          <w:t xml:space="preserve">[1]</w:t>
        </w:r>
      </w:hyperlink>
    </w:p>
    <w:p>
      <w:pPr>
        <w:pStyle w:val="Normal"/>
      </w:pPr>
      <w:r>
        <w:rPr/>
        <w:t xml:space="preserve">Сначала мы позволили изготовленному за год оборудованию участвовать в балансе того же года. При доставке по 2 500 долларов за килограмм местная фабрика получала преимущество. Оно выглядело достаточным, чтобы продолжать разработку.</w:t>
      </w:r>
    </w:p>
    <w:p>
      <w:pPr>
        <w:pStyle w:val="Normal"/>
      </w:pPr>
      <w:r>
        <w:rPr/>
        <w:t xml:space="preserve">Затем потребовали оплатить производство сегодняшней энергией, а изготовленное оборудование включать только со следующего периода. Изменился и график планирования выпуска. При той же цене перевозки победил земной поставщик.</w:t>
      </w:r>
    </w:p>
    <w:tbl>
      <w:tblPr>
        <w:tblW w:w="0" w:type="auto"/>
        <w:tblBorders>
          <w:top w:val="single" w:sz="4" w:color="CCCCCC"/>
          <w:left w:val="single" w:sz="4" w:color="CCCCCC"/>
          <w:bottom w:val="single" w:sz="4" w:color="CCCCCC"/>
          <w:right w:val="single" w:sz="4" w:color="CCCCCC"/>
          <w:insideH w:val="single" w:sz="4" w:color="CCCCCC"/>
          <w:insideV w:val="single" w:sz="4" w:color="CCCCCC"/>
        </w:tblBorders>
      </w:tblPr>
      <w:tr>
        <w:trPr>
          <w:cantSplit/>
          <w:tblHeader/>
        </w:trPr>
        <w:tc>
          <w:p>
            <w:pPr>
              <w:pStyle w:val="Normal"/>
            </w:pPr>
            <w:r>
              <w:rPr>
                <w:b/>
              </w:rPr>
              <w:t xml:space="preserve">Доставка до выбранного узла</w:t>
            </w:r>
          </w:p>
        </w:tc>
        <w:tc>
          <w:p>
            <w:pPr>
              <w:pStyle w:val="Normal"/>
            </w:pPr>
            <w:r>
              <w:rPr>
                <w:b/>
              </w:rPr>
              <w:t xml:space="preserve">Готовая энергетика с Земли</w:t>
            </w:r>
          </w:p>
        </w:tc>
        <w:tc>
          <w:p>
            <w:pPr>
              <w:pStyle w:val="Normal"/>
            </w:pPr>
            <w:r>
              <w:rPr>
                <w:b/>
              </w:rPr>
              <w:t xml:space="preserve">Местная фабрика с отложенным вводом</w:t>
            </w:r>
          </w:p>
        </w:tc>
      </w:tr>
      <w:tr>
        <w:trPr>
          <w:cantSplit/>
        </w:trPr>
        <w:tc>
          <w:p>
            <w:pPr>
              <w:pStyle w:val="Normal"/>
            </w:pPr>
            <w:r>
              <w:rPr/>
              <w:t xml:space="preserve">2 500 долларов за килограмм</w:t>
            </w:r>
          </w:p>
        </w:tc>
        <w:tc>
          <w:p>
            <w:pPr>
              <w:pStyle w:val="Normal"/>
            </w:pPr>
            <w:r>
              <w:rPr/>
              <w:t xml:space="preserve">263,53 млн долларов</w:t>
            </w:r>
          </w:p>
        </w:tc>
        <w:tc>
          <w:p>
            <w:pPr>
              <w:pStyle w:val="Normal"/>
            </w:pPr>
            <w:r>
              <w:rPr/>
              <w:t xml:space="preserve">272,67 млн долларов</w:t>
            </w:r>
          </w:p>
        </w:tc>
      </w:tr>
      <w:tr>
        <w:trPr>
          <w:cantSplit/>
        </w:trPr>
        <w:tc>
          <w:p>
            <w:pPr>
              <w:pStyle w:val="Normal"/>
            </w:pPr>
            <w:r>
              <w:rPr/>
              <w:t xml:space="preserve">5 000 долларов за килограмм</w:t>
            </w:r>
          </w:p>
        </w:tc>
        <w:tc>
          <w:p>
            <w:pPr>
              <w:pStyle w:val="Normal"/>
            </w:pPr>
            <w:r>
              <w:rPr/>
              <w:t xml:space="preserve">497,17 млн долларов</w:t>
            </w:r>
          </w:p>
        </w:tc>
        <w:tc>
          <w:p>
            <w:pPr>
              <w:pStyle w:val="Normal"/>
            </w:pPr>
            <w:r>
              <w:rPr/>
              <w:t xml:space="preserve">462,59 млн долларов</w:t>
            </w:r>
          </w:p>
        </w:tc>
      </w:tr>
    </w:tbl>
    <w:p>
      <w:pPr>
        <w:pStyle w:val="Normal"/>
      </w:pPr>
      <w:r>
        <w:rPr/>
        <w:t xml:space="preserve">В таблице — затраты двух стратегий, приведённые к одному начальному моменту. Покупатель получает одинаково заданную услугу. При более дешёвой перевозке фабрика проигрывает примерно девять миллионов. Отказаться от неё здесь — содержательный результат исследования.</w:t>
      </w:r>
    </w:p>
    <w:p>
      <w:pPr>
        <w:pStyle w:val="Normal"/>
      </w:pPr>
      <w:r>
        <w:rPr/>
        <w:t xml:space="preserve">Важнейшее неизвестное оказалось спрятано во времени. Недостаточно знать, сколько установки смогут изготовить. Нужно выяснить, когда их выпуск действительно начнёт снабжать следующую работу и за чей счёт пройдёт промежуток.</w:t>
      </w:r>
    </w:p>
    <w:p>
      <w:pPr>
        <w:pStyle w:val="Normal"/>
      </w:pPr>
      <w:r>
        <w:rPr/>
        <w:t xml:space="preserve">Можно поставить опыт именно на эту границу: проверить длительность запуска, выход годного продукта, момент приёмки и ввода. Эти измерения меняют решение о капитале. Ещё один красивый перечень местных минералов его не меняет.</w:t>
      </w:r>
    </w:p>
    <w:p>
      <w:pPr>
        <w:pStyle w:val="Normal"/>
      </w:pPr>
      <w:r>
        <w:rPr/>
        <w:t xml:space="preserve">Вторая строка показывает, где местное производство всё же выигрывает. Более дорогая доставка увеличивает цену каждой привозной единицы. Однако найденный выигрыш снова чувствителен к устройству фабрики. Если перенести её начало с третьего на шестой расчётный год, местная стратегия обойдётся примерно в 507 миллионов и уступит земным 497. Большая масса необходимых привозных узлов тоже способна перевернуть результат.</w:t>
      </w:r>
    </w:p>
    <w:p>
      <w:pPr>
        <w:pStyle w:val="Normal"/>
      </w:pPr>
      <w:r>
        <w:rPr/>
        <w:t xml:space="preserve">В нашей ветви инвесторы не строят проигрывающий вариант. Они сохраняют земные поставки там, где те лучше, и выбирают внешний участок с дорогой доставкой для местного производства. До расширения проверяют пуск и критические импорты. Испытанный вариант даёт покупателю нужную мощность и оставляет ресурс на дальнейшую работу.</w:t>
      </w:r>
    </w:p>
    <w:p>
      <w:pPr>
        <w:pStyle w:val="Normal"/>
      </w:pPr>
      <w:r>
        <w:rPr/>
        <w:t xml:space="preserve">Смешанная цепь оказывается полезнее лозунга о полной независимости. Земной изготовитель сохраняет заказы на сложные элементы, местный — снимает наиболее дорогую часть перевозок. У первого появляется причина удержать свою незаменимость. У второго — освоить следующее звено. Их сегодняшняя кооперация финансирует завтрашние попытки меньше зависеть друг от друга.</w:t>
      </w:r>
    </w:p>
    <w:p>
      <w:pPr>
        <w:pStyle w:val="Normal"/>
      </w:pPr>
      <w:r>
        <w:rPr/>
        <w:t xml:space="preserve">Реальные разработки уже позволяют разбирать части такого замысла. Blue Origin описывает Blue Alchemist как способ переработки лунного реголита с получением материалов, кислорода и солнечных элементов. В сентябре 2025 года компания сообщала о завершении критического обзора проекта и планировала наземную демонстрацию в имитации лунных условий.</w:t>
      </w:r>
      <w:hyperlink w:anchor="Note2" w:history="1">
        <w:r>
          <w:rPr>
            <w:rStyle w:val="Hyperlink"/>
          </w:rPr>
          <w:t xml:space="preserve">[2]</w:t>
        </w:r>
      </w:hyperlink>
      <w:r>
        <w:rPr/>
        <w:t xml:space="preserve"> Это определённая инженерная программа, у которой ещё остаётся путь до работающего внешнего производства.</w:t>
      </w:r>
    </w:p>
    <w:p>
      <w:pPr>
        <w:pStyle w:val="Normal"/>
      </w:pPr>
      <w:r>
        <w:rPr/>
        <w:t xml:space="preserve">У местной индустрии есть и расходы, которые плохо видны на изображении растущих фабрик. Часть потребляемой энергии приходится отводить как тепло. Космическому аппарату нужно передать его наружу; площадь излучающих поверхностей, температура и расположение входят в устройство системы. Плотно собрать оборудование бывает выгодно для передачи вещества и неудобно для отвода тепла. Руководство NASA по малым аппаратам разбирает именно такие зависимости; перенос на крупную промышленную систему потребует собственного проекта.</w:t>
      </w:r>
      <w:hyperlink w:anchor="Note3" w:history="1">
        <w:r>
          <w:rPr>
            <w:rStyle w:val="Hyperlink"/>
          </w:rPr>
          <w:t xml:space="preserve">[3]</w:t>
        </w:r>
      </w:hyperlink>
    </w:p>
    <w:p>
      <w:pPr>
        <w:pStyle w:val="Normal"/>
      </w:pPr>
      <w:r>
        <w:rPr/>
        <w:t xml:space="preserve">Поэтому следующая фабрика не получается простым умножением первой. При расширении могут измениться размещение, транспорт, охлаждение, обслуживание. Иногда дешевле разделить производство между несколькими узлами. Тогда у одного собственника станет меньше прямого контроля, зато у сети появится более удобная организация работы. Техника снова меняет возможный договор.</w:t>
      </w:r>
    </w:p>
    <w:p>
      <w:pPr>
        <w:pStyle w:val="Normal"/>
      </w:pPr>
      <w:r>
        <w:rPr/>
        <w:t xml:space="preserve">Но самый существенный импорт способен весить мало.</w:t>
      </w:r>
    </w:p>
    <w:p>
      <w:pPr>
        <w:pStyle w:val="Normal"/>
      </w:pPr>
      <w:r>
        <w:rPr/>
        <w:t xml:space="preserve">Прибор, определяющий качество, специализированный инструмент или средство изготовления такого инструмента могут стоить всей линии. Большая доля местного вещества позволяет сократить перевозки, сохраняя внешнее право остановить следующую замену. Освоение этого небольшого узла меняет зависимость сильнее, чем ещё одна тонна местной конструкции.</w:t>
      </w:r>
    </w:p>
    <w:p>
      <w:pPr>
        <w:pStyle w:val="Normal"/>
      </w:pPr>
      <w:r>
        <w:rPr/>
        <w:t xml:space="preserve">Мы пока не прошли всю цепь. В работающей фабрике остались земные компоненты и приобретённые права на их поставку. Следующий рубеж потребует времени, новых устройств и собственных проверок. Зато теперь есть производство, которое способно оплачивать эту работу: полезный выпуск, действующие покупатели, часть средств для следующего расширения.</w:t>
      </w:r>
    </w:p>
    <w:p>
      <w:pPr>
        <w:pStyle w:val="Normal"/>
      </w:pPr>
      <w:r>
        <w:rPr/>
        <w:t xml:space="preserve">Среди этих покупателей начинает расти доля тех, кому дополнительная энергия нужна для нового опыта. Их заказ может продолжаться и тогда, когда земной рынок уже получил всё, за что готов платить.</w:t>
      </w:r>
    </w:p>
    <w:p>
      <w:pPr>
        <w:pStyle w:val="Normal"/>
      </w:pPr>
      <w:r>
        <w:rPr/>
        <w:t xml:space="preserve">Северная и Южная программы входят в следующую очередь вместе. У них общие измерители полученной мощности и принятый порядок оплаты, выросшие из первой поставки воды. Разойтись ещё можно. Но теперь разрыв означает переделать работающую связь и снова оплатить часть уже решённых задач. Спор о разных целях впервые проходит через общую машину.</w:t>
      </w:r>
    </w:p>
    <w:p>
      <w:pPr>
        <w:pStyle w:val="Heading1"/>
      </w:pPr>
      <w:r>
        <w:rPr/>
        <w:t xml:space="preserve">Примечания</w:t>
      </w:r>
    </w:p>
    <w:p>
      <w:pPr>
        <w:pStyle w:val="Note"/>
      </w:pPr>
      <w:bookmarkStart w:id="1" w:name="Note1"/>
      <w:r>
        <w:rPr/>
        <w:t xml:space="preserve">1. </w:t>
      </w:r>
      <w:r>
        <w:rPr/>
        <w:t xml:space="preserve">Авторская модель M04. Базовый годовой баланс и вариант с отложенным вводом сохранены отдельно. В последнем энергия сегодняшнего изготовления не берётся из его будущего результата; меняются также планирование выпуска и последний год. Это сравнение двух заданных стратегий, без поиска глобального оптимума или полной модели миссии. </w:t>
      </w:r>
      <w:hyperlink w:history="1" r:id="link1">
        <w:r>
          <w:rPr>
            <w:rStyle w:val="Hyperlink"/>
          </w:rPr>
          <w:t xml:space="preserve">Параметры, код, чувствительность и таблицы</w:t>
        </w:r>
      </w:hyperlink>
      <w:r>
        <w:rPr/>
        <w:t xml:space="preserve">.</w:t>
      </w:r>
      <w:bookmarkEnd w:id="1"/>
    </w:p>
    <w:p>
      <w:pPr>
        <w:pStyle w:val="Note"/>
      </w:pPr>
      <w:bookmarkStart w:id="2" w:name="Note2"/>
      <w:r>
        <w:rPr/>
        <w:t xml:space="preserve">2. </w:t>
      </w:r>
      <w:r>
        <w:rPr/>
        <w:t xml:space="preserve">Blue Origin. </w:t>
      </w:r>
      <w:hyperlink w:history="1" r:id="link2">
        <w:r>
          <w:rPr>
            <w:rStyle w:val="Hyperlink"/>
          </w:rPr>
          <w:t xml:space="preserve">Blue Alchemist Hits Major Milestone Toward Permanent, Sustainable Lunar Infrastructure</w:t>
        </w:r>
      </w:hyperlink>
      <w:r>
        <w:rPr/>
        <w:t xml:space="preserve">, 10 сентября 2025 года. Заявление компании о состоянии разработки; указанная демонстрация была планом, а не сообщением о действующей лунной фабрике.</w:t>
      </w:r>
      <w:bookmarkEnd w:id="2"/>
    </w:p>
    <w:p>
      <w:pPr>
        <w:pStyle w:val="Note"/>
      </w:pPr>
      <w:bookmarkStart w:id="3" w:name="Note3"/>
      <w:r>
        <w:rPr/>
        <w:t xml:space="preserve">3. </w:t>
      </w:r>
      <w:r>
        <w:rPr/>
        <w:t xml:space="preserve">NASA. </w:t>
      </w:r>
      <w:hyperlink w:history="1" r:id="link3">
        <w:r>
          <w:rPr>
            <w:rStyle w:val="Hyperlink"/>
          </w:rPr>
          <w:t xml:space="preserve">State-of-the-Art of Small Spacecraft Technology: Thermal Control</w:t>
        </w:r>
      </w:hyperlink>
      <w:r>
        <w:rPr/>
        <w:t xml:space="preserve">, §7.1 и §7.2.5–7.2.7. Тепловой проект крупных фабрик и вычислительных установок в расчёте этой главы отдельно не выполнен.</w:t>
      </w:r>
      <w:bookmarkEnd w:id="3"/>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adavydov.github.io/right-to-decide/research/v10/#M04" TargetMode="External" /><Relationship Id="link2" Type="http://schemas.openxmlformats.org/officeDocument/2006/relationships/hyperlink" Target="https://www.blueorigin.com/news/blue-alchemist-hits-major-milestone-toward-permanent-sustainable-lunar-infrastructure" TargetMode="External" /><Relationship Id="link3" Type="http://schemas.openxmlformats.org/officeDocument/2006/relationships/hyperlink" Target="https://www.nasa.gov/smallsat-institute/sst-soa/thermal-control/" TargetMode="External" /></Relationships>
</file>