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Пусть всё получится</w:t>
      </w:r>
    </w:p>
    <w:p>
      <w:pPr>
        <w:pStyle w:val="Subtitle"/>
      </w:pPr>
      <w:r>
        <w:rPr/>
        <w:t xml:space="preserve">Право на решение · версия 10.1</w:t>
      </w:r>
    </w:p>
    <w:p>
      <w:pPr>
        <w:pStyle w:val="Normal"/>
      </w:pPr>
      <w:r>
        <w:rPr>
          <w:i/>
        </w:rPr>
        <w:t xml:space="preserve">«Счастье для всех, даром, и пусть никто не уйдёт обиженный!»</w:t>
      </w:r>
    </w:p>
    <w:p>
      <w:pPr>
        <w:pStyle w:val="Normal"/>
      </w:pPr>
      <w:r>
        <w:rPr>
          <w:i/>
        </w:rPr>
        <w:t xml:space="preserve">Аркадий и Борис Стругацкие. «Пикник на обочине».</w:t>
      </w:r>
    </w:p>
    <w:p>
      <w:pPr>
        <w:pStyle w:val="Normal"/>
      </w:pPr>
      <w:r>
        <w:rPr/>
        <w:t xml:space="preserve">Сначала машины сделали английских ткачей богаче.</w:t>
      </w:r>
    </w:p>
    <w:p>
      <w:pPr>
        <w:pStyle w:val="Normal"/>
      </w:pPr>
      <w:r>
        <w:rPr/>
        <w:t xml:space="preserve">Механизированное прядение давало больше дешёвой нити. Превратить её в ткань ещё предстояло людям. Спрос на ручное ткачество рос вместе с заработками. В исторической реконструкции Роберта Аллена этот успех сам помог оплатить следующую замену: дорогой труд делал разработку механического станка всё более привлекательной. Затем станки совершенствовались, ткань дешевела, прежний заработок исчезал.</w:t>
      </w:r>
      <w:hyperlink w:anchor="Note1" w:history="1">
        <w:r>
          <w:rPr>
            <w:rStyle w:val="Hyperlink"/>
          </w:rPr>
          <w:t xml:space="preserve">[1]</w:t>
        </w:r>
      </w:hyperlink>
    </w:p>
    <w:p>
      <w:pPr>
        <w:pStyle w:val="Normal"/>
      </w:pPr>
      <w:r>
        <w:rPr/>
        <w:t xml:space="preserve">Машина сначала расширила место человека, а потом заняла его.</w:t>
      </w:r>
    </w:p>
    <w:p>
      <w:pPr>
        <w:pStyle w:val="Normal"/>
      </w:pPr>
      <w:r>
        <w:rPr/>
        <w:t xml:space="preserve">Издалека эта история складывается в переход. Одни занятия уходят, другие возникают. Доступных товаров становится больше. Следующие поколения живут в мире, который прежде был слишком дорог.</w:t>
      </w:r>
    </w:p>
    <w:p>
      <w:pPr>
        <w:pStyle w:val="Normal"/>
      </w:pPr>
      <w:r>
        <w:rPr/>
        <w:t xml:space="preserve">Человек, однако, не живёт несколько поколений.</w:t>
      </w:r>
    </w:p>
    <w:p>
      <w:pPr>
        <w:pStyle w:val="Normal"/>
      </w:pPr>
      <w:r>
        <w:rPr/>
        <w:t xml:space="preserve">Его единственная жизнь может попасть между исчезновением старого места и появлением нового. Исторический выигрыш ещё впереди, а расходы на завтрашний день уже наступили.</w:t>
      </w:r>
    </w:p>
    <w:p>
      <w:pPr>
        <w:pStyle w:val="Normal"/>
      </w:pPr>
      <w:r>
        <w:rPr/>
        <w:t xml:space="preserve">В 1835 году Джон Бауринг говорил об этом расхождении в британском парламенте. Превосходство английского производства и бедствие ткачей Дакки входили у него в один аргумент. Он отвергал предложенный тариф как способ остановить замену труда и поддерживал другие меры — объединения работников, обучение, переход к новой технике.</w:t>
      </w:r>
      <w:hyperlink w:anchor="Note2" w:history="1">
        <w:r>
          <w:rPr>
            <w:rStyle w:val="Hyperlink"/>
          </w:rPr>
          <w:t xml:space="preserve">[2]</w:t>
        </w:r>
      </w:hyperlink>
      <w:r>
        <w:rPr/>
        <w:t xml:space="preserve"> Спор шёл о том, что делать с людьми внутри удачного для промышленности изменения.</w:t>
      </w:r>
    </w:p>
    <w:p>
      <w:pPr>
        <w:pStyle w:val="Normal"/>
      </w:pPr>
      <w:r>
        <w:rPr/>
        <w:t xml:space="preserve">Сегодня разговор об искусственном интеллекте часто начинается в похожем месте. Кто потеряет доход? Кто получит выигрыш? Какие занятия появятся и кому достанется время научиться им? У владельца, работника, покупателя и правящей группы разные ответы. Из этих ответов складываются налоги, инвестиции, запреты и новые союзы.</w:t>
      </w:r>
    </w:p>
    <w:p>
      <w:pPr>
        <w:pStyle w:val="Normal"/>
      </w:pPr>
      <w:r>
        <w:rPr/>
        <w:t xml:space="preserve">Но остановиться здесь было бы слишком удобно.</w:t>
      </w:r>
    </w:p>
    <w:p>
      <w:pPr>
        <w:pStyle w:val="Normal"/>
      </w:pPr>
      <w:r>
        <w:rPr/>
        <w:t xml:space="preserve">Давайте предположим, что значительную часть материальной задачи удалось решить. Машины надёжно работают. Энергии и полезного выпуска хватает для обеспеченной жизни. Людям больше не требуется быть производственно незаменимыми, чтобы получить пищу, жильё и лечение. Участие в сложном деле открыто тем, кто его выбирает. Сильная помощь позволяет освоить то, что прежде было недоступно.</w:t>
      </w:r>
    </w:p>
    <w:p>
      <w:pPr>
        <w:pStyle w:val="Normal"/>
      </w:pPr>
      <w:r>
        <w:rPr/>
        <w:t xml:space="preserve">Пусть всё получится.</w:t>
      </w:r>
    </w:p>
    <w:p>
      <w:pPr>
        <w:pStyle w:val="Normal"/>
      </w:pPr>
      <w:r>
        <w:rPr/>
        <w:t xml:space="preserve">Мы будем исследовать именно это продолжение. Оно не отменяет конфликты перехода: каждому приобретению ещё предстоит найти владельца, источник средств и политических сторонников. Но нас интересует мир, в котором технический успех действительно состоялся. Машина выполняет обещанное достаточно хорошо, чтобы ей захотели поручить больше.</w:t>
      </w:r>
    </w:p>
    <w:p>
      <w:pPr>
        <w:pStyle w:val="Normal"/>
      </w:pPr>
      <w:r>
        <w:rPr/>
        <w:t xml:space="preserve">Сначала — закончить разработку. Затем — выбрать способ производства. Потом — собрать соседних исполнителей и договориться об их общей работе. После этого — предложить правила, при которых следующая разработка пойдёт быстрее.</w:t>
      </w:r>
    </w:p>
    <w:p>
      <w:pPr>
        <w:pStyle w:val="Normal"/>
      </w:pPr>
      <w:r>
        <w:rPr/>
        <w:t xml:space="preserve">Каждое поручение будет разумным для кого-то. Оно даст продукт, доход, безопасность или время. Отказ потребует заплатить за другую возможность. Участники примут множество небольших решений, ни одно из которых не будет называться отказом от будущего.</w:t>
      </w:r>
    </w:p>
    <w:p>
      <w:pPr>
        <w:pStyle w:val="Normal"/>
      </w:pPr>
      <w:r>
        <w:rPr/>
        <w:t xml:space="preserve">Их соединение изменит того, кто определяет следующую работу.</w:t>
      </w:r>
    </w:p>
    <w:p>
      <w:pPr>
        <w:pStyle w:val="Normal"/>
      </w:pPr>
      <w:r>
        <w:rPr/>
        <w:t xml:space="preserve">Мы привыкли воображать человека по одну сторону стола и машину по другую. В действительной истории по обе стороны находятся организации, владельцы, государства, исследовательские коллективы и конкуренты. Одни люди создают систему, другие предоставляют оборудование, третьи выбирают применение. Даже очень важный вклад ещё не даёт одному участнику права распоряжаться всеми остальными.</w:t>
      </w:r>
    </w:p>
    <w:p>
      <w:pPr>
        <w:pStyle w:val="Normal"/>
      </w:pPr>
      <w:r>
        <w:rPr/>
        <w:t xml:space="preserve">Поэтому вопрос о будущем разума начинается с другого вопроса: кто именно имеется в виду, когда мы говорим «мы его создали»?</w:t>
      </w:r>
    </w:p>
    <w:p>
      <w:pPr>
        <w:pStyle w:val="Normal"/>
      </w:pPr>
      <w:r>
        <w:rPr/>
        <w:t xml:space="preserve">Дальше нам понадобится проследить несколько удачных ответов. Увидеть, как собственный доход может расти вместе с чужим влиянием. Как открытый вход даёт людям настоящее преимущество, которым затем пользуются новые участники. Как способность изменить себя меняет самого заказчика. Как первое внешнее производство находит покупателя, которому нужно продолжение исследования.</w:t>
      </w:r>
    </w:p>
    <w:p>
      <w:pPr>
        <w:pStyle w:val="Normal"/>
      </w:pPr>
      <w:r>
        <w:rPr/>
        <w:t xml:space="preserve">Это одна выбранная дорога через возможное будущее. Даты не ведут её вперёд за нас. Должны сойтись техника, средства и интересы тех, кто сделает следующий шаг. Там, где другой договор работает, он получит место в этой истории и изменит её.</w:t>
      </w:r>
    </w:p>
    <w:p>
      <w:pPr>
        <w:pStyle w:val="Normal"/>
      </w:pPr>
      <w:r>
        <w:rPr/>
        <w:t xml:space="preserve">В конце останется оценить собственный успех. Нам может оказаться мало того, ради чего мы начинали. Или мы обнаружим, что получили больше, чем умели правильно назвать.</w:t>
      </w:r>
    </w:p>
    <w:p>
      <w:pPr>
        <w:pStyle w:val="Normal"/>
      </w:pPr>
      <w:r>
        <w:rPr/>
        <w:t xml:space="preserve">Пока есть первый заказ. Его хочется выполнить хорошо.</w:t>
      </w:r>
    </w:p>
    <w:p>
      <w:pPr>
        <w:pStyle w:val="Heading1"/>
      </w:pPr>
      <w:r>
        <w:rPr/>
        <w:t xml:space="preserve">Примечания</w:t>
      </w:r>
    </w:p>
    <w:p>
      <w:pPr>
        <w:pStyle w:val="Note"/>
      </w:pPr>
      <w:bookmarkStart w:id="1" w:name="Note1"/>
      <w:r>
        <w:rPr/>
        <w:t xml:space="preserve">1. </w:t>
      </w:r>
      <w:r>
        <w:rPr/>
        <w:t xml:space="preserve">Robert C. Allen. </w:t>
      </w:r>
      <w:hyperlink w:history="1" r:id="link1">
        <w:r>
          <w:rPr>
            <w:rStyle w:val="Hyperlink"/>
          </w:rPr>
          <w:t xml:space="preserve">The Hand-Loom Weaver and the Power Loom: A Schumpeterian Perspective</w:t>
        </w:r>
      </w:hyperlink>
      <w:r>
        <w:rPr/>
        <w:t xml:space="preserve">, 2016, введение и заключение. Историческая реконструкция хлопкоткацкой отрасли соединяет механизацию прядения, временный рост заработков ручных ткачей и последующее развитие механического ткачества.</w:t>
      </w:r>
      <w:bookmarkEnd w:id="1"/>
    </w:p>
    <w:p>
      <w:pPr>
        <w:pStyle w:val="Note"/>
      </w:pPr>
      <w:bookmarkStart w:id="2" w:name="Note2"/>
      <w:r>
        <w:rPr/>
        <w:t xml:space="preserve">2. </w:t>
      </w:r>
      <w:hyperlink w:history="1" r:id="link2">
        <w:r>
          <w:rPr>
            <w:rStyle w:val="Hyperlink"/>
          </w:rPr>
          <w:t xml:space="preserve">Hand-Loom Weavers, House of Commons, 28 July 1835</w:t>
        </w:r>
      </w:hyperlink>
      <w:r>
        <w:rPr/>
        <w:t xml:space="preserve">, речь Dr Bowring, том 29, колонки 1164–1177; Дакка — 1169–1170, предлагаемые меры — 1173–1177. Сообщение о бедствии приводится как аргумент оратора, без независимой оценки его демографических данных.</w:t>
      </w:r>
      <w:bookmarkEnd w:id="2"/>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ora.ox.ac.uk/objects/uuid:91793a57-9a64-47cc-8b57-189f1c775939/files/s4t64gn545" TargetMode="External" /><Relationship Id="link2" Type="http://schemas.openxmlformats.org/officeDocument/2006/relationships/hyperlink" Target="https://api.parliament.uk/historic-hansard/commons/1835/jul/28/hand-loom-weavers" TargetMode="External" /></Relationships>
</file>